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75"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25"/>
          <w:szCs w:val="25"/>
          <w:b w:val="1"/>
          <w:bCs w:val="1"/>
          <w:color w:val="auto"/>
        </w:rPr>
        <w:t>UNITED STATES</w:t>
      </w:r>
    </w:p>
    <w:p>
      <w:pPr>
        <w:spacing w:after="0" w:line="44"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13"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25"/>
          <w:szCs w:val="25"/>
          <w:b w:val="1"/>
          <w:bCs w:val="1"/>
          <w:color w:val="auto"/>
        </w:rPr>
        <w:t>Washington, D.C. 20549</w:t>
      </w:r>
    </w:p>
    <w:p>
      <w:pPr>
        <w:spacing w:after="0" w:line="229" w:lineRule="exact"/>
        <w:rPr>
          <w:sz w:val="24"/>
          <w:szCs w:val="24"/>
          <w:color w:val="auto"/>
        </w:rPr>
      </w:pPr>
    </w:p>
    <w:p>
      <w:pPr>
        <w:ind w:left="5000"/>
        <w:spacing w:after="0"/>
        <w:rPr>
          <w:sz w:val="20"/>
          <w:szCs w:val="20"/>
          <w:color w:val="auto"/>
        </w:rPr>
      </w:pPr>
      <w:r>
        <w:rPr>
          <w:rFonts w:ascii="Times New Roman" w:cs="Times New Roman" w:eastAsia="Times New Roman" w:hAnsi="Times New Roman"/>
          <w:sz w:val="25"/>
          <w:szCs w:val="25"/>
          <w:b w:val="1"/>
          <w:bCs w:val="1"/>
          <w:color w:val="auto"/>
        </w:rPr>
        <w:t>FORM 6-K</w:t>
      </w:r>
    </w:p>
    <w:p>
      <w:pPr>
        <w:spacing w:after="0" w:line="273"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REPORT OF FOREIGN PRIVATE ISSUER</w:t>
      </w:r>
    </w:p>
    <w:p>
      <w:pPr>
        <w:spacing w:after="0" w:line="31"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PURSUANT TO SECTION 13A-16 OR 15D-16</w:t>
      </w:r>
    </w:p>
    <w:p>
      <w:pPr>
        <w:spacing w:after="0" w:line="9"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UNDER THE SECURITIES EXCHANGE ACT OF 1934</w:t>
      </w:r>
    </w:p>
    <w:p>
      <w:pPr>
        <w:spacing w:after="0" w:line="230"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For the month of February 2023</w:t>
      </w:r>
    </w:p>
    <w:p>
      <w:pPr>
        <w:spacing w:after="0" w:line="252"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Commission File Number: 001-41430</w:t>
      </w:r>
    </w:p>
    <w:p>
      <w:pPr>
        <w:spacing w:after="0" w:line="234" w:lineRule="exact"/>
        <w:rPr>
          <w:sz w:val="24"/>
          <w:szCs w:val="24"/>
          <w:color w:val="auto"/>
        </w:rPr>
      </w:pPr>
    </w:p>
    <w:p>
      <w:pPr>
        <w:ind w:left="3480"/>
        <w:spacing w:after="0"/>
        <w:rPr>
          <w:sz w:val="20"/>
          <w:szCs w:val="20"/>
          <w:color w:val="auto"/>
        </w:rPr>
      </w:pPr>
      <w:r>
        <w:rPr>
          <w:rFonts w:ascii="Times New Roman" w:cs="Times New Roman" w:eastAsia="Times New Roman" w:hAnsi="Times New Roman"/>
          <w:sz w:val="40"/>
          <w:szCs w:val="40"/>
          <w:b w:val="1"/>
          <w:bCs w:val="1"/>
          <w:color w:val="auto"/>
        </w:rPr>
        <w:t>Pagaya Technologies Ltd.</w:t>
      </w:r>
    </w:p>
    <w:p>
      <w:pPr>
        <w:spacing w:after="0" w:line="54"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28"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Azrieli Sarona Bldg, 54th Floor</w:t>
      </w:r>
    </w:p>
    <w:p>
      <w:pPr>
        <w:spacing w:after="0" w:line="31"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121 Derech Menachem Begin</w:t>
      </w:r>
    </w:p>
    <w:p>
      <w:pPr>
        <w:spacing w:after="0" w:line="9"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Tel-Aviv 6701203, Israel</w:t>
      </w:r>
    </w:p>
    <w:p>
      <w:pPr>
        <w:spacing w:after="0" w:line="9"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+972 (3) 715 0920</w:t>
      </w:r>
    </w:p>
    <w:p>
      <w:pPr>
        <w:spacing w:after="0" w:line="9" w:lineRule="exact"/>
        <w:rPr>
          <w:sz w:val="24"/>
          <w:szCs w:val="24"/>
          <w:color w:val="auto"/>
        </w:rPr>
      </w:pPr>
    </w:p>
    <w:p>
      <w:pPr>
        <w:ind w:left="4140"/>
        <w:spacing w:after="0"/>
        <w:rPr>
          <w:sz w:val="20"/>
          <w:szCs w:val="20"/>
          <w:color w:val="auto"/>
        </w:rPr>
      </w:pPr>
      <w:r>
        <w:rPr>
          <w:rFonts w:ascii="Times New Roman" w:cs="Times New Roman" w:eastAsia="Times New Roman" w:hAnsi="Times New Roman"/>
          <w:sz w:val="18"/>
          <w:szCs w:val="18"/>
          <w:b w:val="1"/>
          <w:bCs w:val="1"/>
          <w:color w:val="auto"/>
        </w:rPr>
        <w:t>(Address of principal executive offices)</w:t>
      </w:r>
    </w:p>
    <w:p>
      <w:pPr>
        <w:spacing w:after="0" w:line="234" w:lineRule="exact"/>
        <w:rPr>
          <w:sz w:val="24"/>
          <w:szCs w:val="24"/>
          <w:color w:val="auto"/>
        </w:rPr>
      </w:pPr>
    </w:p>
    <w:p>
      <w:pPr>
        <w:ind w:left="4620" w:right="1639" w:hanging="4611"/>
        <w:spacing w:after="0" w:line="235"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files or will file annual reports under cover of Form 20-F or Form 40-F. Form 20-F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Form 40-F </w:t>
      </w:r>
      <w:r>
        <w:rPr>
          <w:rFonts w:ascii="MS PGothic" w:cs="MS PGothic" w:eastAsia="MS PGothic" w:hAnsi="MS PGothic"/>
          <w:sz w:val="18"/>
          <w:szCs w:val="18"/>
          <w:color w:val="auto"/>
        </w:rPr>
        <w:t>☐</w:t>
      </w:r>
    </w:p>
    <w:p>
      <w:pPr>
        <w:spacing w:after="0" w:line="177" w:lineRule="exact"/>
        <w:rPr>
          <w:sz w:val="24"/>
          <w:szCs w:val="24"/>
          <w:color w:val="auto"/>
        </w:rPr>
      </w:pPr>
    </w:p>
    <w:p>
      <w:pPr>
        <w:spacing w:after="0" w:line="196" w:lineRule="exact"/>
        <w:rPr>
          <w:sz w:val="20"/>
          <w:szCs w:val="20"/>
          <w:color w:val="auto"/>
        </w:rPr>
      </w:pPr>
      <w:r>
        <w:rPr>
          <w:rFonts w:ascii="Times New Roman" w:cs="Times New Roman" w:eastAsia="Times New Roman" w:hAnsi="Times New Roman"/>
          <w:sz w:val="17"/>
          <w:szCs w:val="17"/>
          <w:color w:val="auto"/>
        </w:rPr>
        <w:t xml:space="preserve">Indicate by check mark if the registrant is submitting the Form 6-K in paper as permitted by Regulation S-T Rule 101(b)(1): </w:t>
      </w:r>
      <w:r>
        <w:rPr>
          <w:rFonts w:ascii="MS PGothic" w:cs="MS PGothic" w:eastAsia="MS PGothic" w:hAnsi="MS PGothic"/>
          <w:sz w:val="17"/>
          <w:szCs w:val="17"/>
          <w:color w:val="auto"/>
        </w:rPr>
        <w:t>☐</w:t>
      </w:r>
    </w:p>
    <w:p>
      <w:pPr>
        <w:spacing w:after="0" w:line="264" w:lineRule="exact"/>
        <w:rPr>
          <w:sz w:val="24"/>
          <w:szCs w:val="24"/>
          <w:color w:val="auto"/>
        </w:rPr>
      </w:pPr>
    </w:p>
    <w:p>
      <w:pPr>
        <w:spacing w:after="0" w:line="196" w:lineRule="exact"/>
        <w:rPr>
          <w:sz w:val="20"/>
          <w:szCs w:val="20"/>
          <w:color w:val="auto"/>
        </w:rPr>
      </w:pPr>
      <w:r>
        <w:rPr>
          <w:rFonts w:ascii="Times New Roman" w:cs="Times New Roman" w:eastAsia="Times New Roman" w:hAnsi="Times New Roman"/>
          <w:sz w:val="17"/>
          <w:szCs w:val="17"/>
          <w:color w:val="auto"/>
        </w:rPr>
        <w:t xml:space="preserve">Indicate by check mark if the registrant is submitting the Form 6-K in paper as permitted by Regulation S-T Rule 101(b)(7): </w:t>
      </w:r>
      <w:r>
        <w:rPr>
          <w:rFonts w:ascii="MS PGothic" w:cs="MS PGothic" w:eastAsia="MS PGothic" w:hAnsi="MS PGothic"/>
          <w:sz w:val="17"/>
          <w:szCs w:val="17"/>
          <w:color w:val="auto"/>
        </w:rPr>
        <w:t>☐</w:t>
      </w:r>
    </w:p>
    <w:p>
      <w:pPr>
        <w:sectPr>
          <w:pgSz w:w="11900" w:h="16838" w:orient="portrait"/>
          <w:cols w:equalWidth="0" w:num="1">
            <w:col w:w="10139"/>
          </w:cols>
          <w:pgMar w:left="320" w:top="1440" w:right="1440" w:bottom="1440" w:gutter="0" w:footer="0" w:header="0"/>
        </w:sectPr>
      </w:pPr>
    </w:p>
    <w:bookmarkStart w:id="1" w:name="page2"/>
    <w:bookmarkEnd w:id="1"/>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CONTENTS</w:t>
      </w:r>
    </w:p>
    <w:p>
      <w:pPr>
        <w:spacing w:after="0" w:line="25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On February 15, 2023, Pagaya Technologies Ltd. (“Pagaya”) issued a press release titled “Pagaya Reports Fourth Quarter and Full Year 2022 Results,” in which Pagaya reported its unaudited financial results for the quarter and fiscal year ended December 31, 2022 (the “unaudited financial results”). A copy of that press release is furnished as Exhibit 99.1 hereto and is incorporated herein by reference. The unaudited financial results are subject to completion of final audit adjustments, and therefore could differ from the financial results in the Company’s audited consolidated financial statements for the fiscal year ended December 31, 2022.</w:t>
      </w:r>
    </w:p>
    <w:p>
      <w:pPr>
        <w:spacing w:after="0" w:line="2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CAUTIONARY NOTE ON FORWARD-LOOKING STATEMENTS</w:t>
      </w:r>
    </w:p>
    <w:p>
      <w:pPr>
        <w:spacing w:after="0" w:line="256"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This Report contains forward-looking statements within the meaning of the Private Securities Litigation Reform Act of 1995. Words such as “may,” “will,” “expect,” “plan,” “anticipate,” “estimate,” “intend” and similar expressions (as well as other words or expressions referencing future events, conditions or circumstances) are intended to identify forward-looking statements. These forward-looking statements are based on Pagaya’s expectations and assumptions as of the date of this Report. Each of these forward-looking statements involves risks and uncertainties. Actual results may differ materially from those expressed or implied by these forward-looking statements. All statements other than statements of historical fact are forward-looking statements, including statements regarding the finalization of any adjustments identified by the Company’s auditors in the course of their review and audit, as applicable, of the Company's financial statements for the fourth fiscal quarter and fiscal year ended December 31, 2022. For a discussion of risk factors that may cause Pagaya’s actual results to differ from those expressed or implied in the forward-looking statements in this Report, you should refer to Pagaya’s filings with the U.S. Securities and Exchange Commission, including the “Risk Factors” section contained herein. Except as required by law, Pagaya undertakes no obligation to publicly update any forward-looking statements, whether as a result of new information, future events or otherwise, except as required by law. You should, therefore, not rely on these forward-looking statements as representing Pagaya’s views as of any date subsequent to the date of this Report.</w:t>
      </w: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tbl>
      <w:tblPr>
        <w:tblLayout w:type="fixed"/>
        <w:tblInd w:w="40" w:type="dxa"/>
        <w:tblCellMar>
          <w:top w:w="0" w:type="dxa"/>
          <w:left w:w="0" w:type="dxa"/>
          <w:bottom w:w="0" w:type="dxa"/>
          <w:right w:w="0" w:type="dxa"/>
        </w:tblCellMar>
      </w:tblPr>
      <w:tr>
        <w:trPr>
          <w:trHeight w:val="238"/>
        </w:trPr>
        <w:tc>
          <w:tcPr>
            <w:tcW w:w="3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720" w:type="dxa"/>
            <w:vAlign w:val="bottom"/>
          </w:tcPr>
          <w:p>
            <w:pPr>
              <w:ind w:left="3420"/>
              <w:spacing w:after="0"/>
              <w:rPr>
                <w:sz w:val="20"/>
                <w:szCs w:val="20"/>
                <w:color w:val="auto"/>
              </w:rPr>
            </w:pPr>
            <w:r>
              <w:rPr>
                <w:rFonts w:ascii="Times New Roman" w:cs="Times New Roman" w:eastAsia="Times New Roman" w:hAnsi="Times New Roman"/>
                <w:sz w:val="18"/>
                <w:szCs w:val="18"/>
                <w:b w:val="1"/>
                <w:bCs w:val="1"/>
                <w:color w:val="auto"/>
              </w:rPr>
              <w:t>EXHIBIT INDEX</w:t>
            </w:r>
          </w:p>
        </w:tc>
      </w:tr>
      <w:tr>
        <w:trPr>
          <w:trHeight w:val="499"/>
        </w:trPr>
        <w:tc>
          <w:tcPr>
            <w:tcW w:w="146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Exhibit No.</w:t>
            </w:r>
          </w:p>
        </w:tc>
        <w:tc>
          <w:tcPr>
            <w:tcW w:w="9720" w:type="dxa"/>
            <w:vAlign w:val="bottom"/>
          </w:tcPr>
          <w:p>
            <w:pPr>
              <w:ind w:left="4400"/>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183"/>
        </w:trPr>
        <w:tc>
          <w:tcPr>
            <w:tcW w:w="1360" w:type="dxa"/>
            <w:vAlign w:val="bottom"/>
            <w:tcBorders>
              <w:top w:val="single" w:sz="8" w:color="auto"/>
            </w:tcBorders>
            <w:gridSpan w:val="2"/>
            <w:shd w:val="clear" w:color="auto" w:fill="CCEEFF"/>
          </w:tcPr>
          <w:p>
            <w:pPr>
              <w:spacing w:after="0" w:line="169" w:lineRule="exact"/>
              <w:rPr>
                <w:sz w:val="20"/>
                <w:szCs w:val="20"/>
                <w:color w:val="auto"/>
              </w:rPr>
            </w:pPr>
            <w:r>
              <w:rPr>
                <w:rFonts w:ascii="Times New Roman" w:cs="Times New Roman" w:eastAsia="Times New Roman" w:hAnsi="Times New Roman"/>
                <w:sz w:val="18"/>
                <w:szCs w:val="18"/>
                <w:color w:val="0000FF"/>
              </w:rPr>
              <w:t>99.</w:t>
            </w:r>
            <w:r>
              <w:rPr>
                <w:rFonts w:ascii="Times New Roman" w:cs="Times New Roman" w:eastAsia="Times New Roman" w:hAnsi="Times New Roman"/>
                <w:sz w:val="18"/>
                <w:szCs w:val="18"/>
                <w:u w:val="single" w:color="auto"/>
                <w:color w:val="0000FF"/>
              </w:rPr>
              <w:t>1</w:t>
            </w:r>
          </w:p>
        </w:tc>
        <w:tc>
          <w:tcPr>
            <w:tcW w:w="100" w:type="dxa"/>
            <w:vAlign w:val="bottom"/>
            <w:tcBorders>
              <w:top w:val="single" w:sz="8" w:color="CCEEFF"/>
            </w:tcBorders>
            <w:shd w:val="clear" w:color="auto" w:fill="CCEEFF"/>
          </w:tcPr>
          <w:p>
            <w:pPr>
              <w:spacing w:after="0"/>
              <w:rPr>
                <w:sz w:val="15"/>
                <w:szCs w:val="15"/>
                <w:color w:val="auto"/>
              </w:rPr>
            </w:pPr>
          </w:p>
        </w:tc>
        <w:tc>
          <w:tcPr>
            <w:tcW w:w="9720" w:type="dxa"/>
            <w:vAlign w:val="bottom"/>
            <w:tcBorders>
              <w:top w:val="single" w:sz="8" w:color="auto"/>
            </w:tcBorders>
            <w:shd w:val="clear" w:color="auto" w:fill="CCEEFF"/>
          </w:tcPr>
          <w:p>
            <w:pPr>
              <w:spacing w:after="0" w:line="169" w:lineRule="exact"/>
              <w:rPr>
                <w:sz w:val="20"/>
                <w:szCs w:val="20"/>
                <w:color w:val="auto"/>
              </w:rPr>
            </w:pPr>
            <w:r>
              <w:rPr>
                <w:rFonts w:ascii="Times New Roman" w:cs="Times New Roman" w:eastAsia="Times New Roman" w:hAnsi="Times New Roman"/>
                <w:sz w:val="18"/>
                <w:szCs w:val="18"/>
                <w:color w:val="auto"/>
              </w:rPr>
              <w:t>Press release, dated February 15, 2023, titled “Pagaya Reports Fourth Quarter and Full Year 2022 Results”</w:t>
            </w:r>
          </w:p>
        </w:tc>
      </w:tr>
      <w:tr>
        <w:trPr>
          <w:trHeight w:val="61"/>
        </w:trPr>
        <w:tc>
          <w:tcPr>
            <w:tcW w:w="320" w:type="dxa"/>
            <w:vAlign w:val="bottom"/>
            <w:tcBorders>
              <w:top w:val="single" w:sz="8" w:color="0000FF"/>
            </w:tcBorders>
            <w:shd w:val="clear" w:color="auto" w:fill="CCEEFF"/>
          </w:tcPr>
          <w:p>
            <w:pPr>
              <w:spacing w:after="0"/>
              <w:rPr>
                <w:sz w:val="5"/>
                <w:szCs w:val="5"/>
                <w:color w:val="auto"/>
              </w:rPr>
            </w:pPr>
          </w:p>
        </w:tc>
        <w:tc>
          <w:tcPr>
            <w:tcW w:w="104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9720" w:type="dxa"/>
            <w:vAlign w:val="bottom"/>
            <w:tcBorders>
              <w:top w:val="single" w:sz="8" w:color="CCEEFF"/>
            </w:tcBorders>
            <w:shd w:val="clear" w:color="auto" w:fill="CCEEFF"/>
          </w:tcPr>
          <w:p>
            <w:pPr>
              <w:spacing w:after="0"/>
              <w:rPr>
                <w:sz w:val="5"/>
                <w:szCs w:val="5"/>
                <w:color w:val="auto"/>
              </w:rPr>
            </w:pPr>
          </w:p>
        </w:tc>
      </w:tr>
    </w:tbl>
    <w:p>
      <w:pPr>
        <w:sectPr>
          <w:pgSz w:w="11900" w:h="16838" w:orient="portrait"/>
          <w:cols w:equalWidth="0" w:num="1">
            <w:col w:w="11240"/>
          </w:cols>
          <w:pgMar w:left="320" w:top="1413" w:right="3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56"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225" w:lineRule="exact"/>
        <w:rPr>
          <w:sz w:val="20"/>
          <w:szCs w:val="20"/>
          <w:color w:val="auto"/>
        </w:rPr>
      </w:pPr>
    </w:p>
    <w:tbl>
      <w:tblPr>
        <w:tblLayout w:type="fixed"/>
        <w:tblInd w:w="20" w:type="dxa"/>
        <w:tblCellMar>
          <w:top w:w="0" w:type="dxa"/>
          <w:left w:w="0" w:type="dxa"/>
          <w:bottom w:w="0" w:type="dxa"/>
          <w:right w:w="0" w:type="dxa"/>
        </w:tblCellMar>
      </w:tblPr>
      <w:tr>
        <w:trPr>
          <w:trHeight w:val="238"/>
        </w:trPr>
        <w:tc>
          <w:tcPr>
            <w:tcW w:w="3680" w:type="dxa"/>
            <w:vAlign w:val="bottom"/>
          </w:tcPr>
          <w:p>
            <w:pPr>
              <w:spacing w:after="0"/>
              <w:rPr>
                <w:sz w:val="20"/>
                <w:szCs w:val="20"/>
                <w:color w:val="auto"/>
              </w:rPr>
            </w:pPr>
          </w:p>
        </w:tc>
        <w:tc>
          <w:tcPr>
            <w:tcW w:w="2740" w:type="dxa"/>
            <w:vAlign w:val="bottom"/>
          </w:tcPr>
          <w:p>
            <w:pPr>
              <w:spacing w:after="0"/>
              <w:rPr>
                <w:sz w:val="20"/>
                <w:szCs w:val="20"/>
                <w:color w:val="auto"/>
              </w:rPr>
            </w:pPr>
          </w:p>
        </w:tc>
        <w:tc>
          <w:tcPr>
            <w:tcW w:w="48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PAGAYA TECHNOLOGIES LTD.</w:t>
            </w:r>
          </w:p>
        </w:tc>
      </w:tr>
      <w:tr>
        <w:trPr>
          <w:trHeight w:val="378"/>
        </w:trPr>
        <w:tc>
          <w:tcPr>
            <w:tcW w:w="3680" w:type="dxa"/>
            <w:vAlign w:val="bottom"/>
          </w:tcPr>
          <w:p>
            <w:pPr>
              <w:spacing w:after="0"/>
              <w:rPr>
                <w:sz w:val="20"/>
                <w:szCs w:val="20"/>
                <w:color w:val="auto"/>
              </w:rPr>
            </w:pPr>
            <w:r>
              <w:rPr>
                <w:rFonts w:ascii="Times New Roman" w:cs="Times New Roman" w:eastAsia="Times New Roman" w:hAnsi="Times New Roman"/>
                <w:sz w:val="18"/>
                <w:szCs w:val="18"/>
                <w:color w:val="auto"/>
              </w:rPr>
              <w:t>Date: February 15, 2023</w:t>
            </w:r>
          </w:p>
        </w:tc>
        <w:tc>
          <w:tcPr>
            <w:tcW w:w="2740" w:type="dxa"/>
            <w:vAlign w:val="bottom"/>
          </w:tcPr>
          <w:p>
            <w:pPr>
              <w:ind w:left="1920"/>
              <w:spacing w:after="0"/>
              <w:rPr>
                <w:sz w:val="20"/>
                <w:szCs w:val="20"/>
                <w:color w:val="auto"/>
              </w:rPr>
            </w:pPr>
            <w:r>
              <w:rPr>
                <w:rFonts w:ascii="Times New Roman" w:cs="Times New Roman" w:eastAsia="Times New Roman" w:hAnsi="Times New Roman"/>
                <w:sz w:val="18"/>
                <w:szCs w:val="18"/>
                <w:color w:val="auto"/>
              </w:rPr>
              <w:t>By:</w:t>
            </w:r>
          </w:p>
        </w:tc>
        <w:tc>
          <w:tcPr>
            <w:tcW w:w="48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Gal Krubiner</w:t>
            </w:r>
          </w:p>
        </w:tc>
      </w:tr>
      <w:tr>
        <w:trPr>
          <w:trHeight w:val="218"/>
        </w:trPr>
        <w:tc>
          <w:tcPr>
            <w:tcW w:w="3680" w:type="dxa"/>
            <w:vAlign w:val="bottom"/>
          </w:tcPr>
          <w:p>
            <w:pPr>
              <w:spacing w:after="0"/>
              <w:rPr>
                <w:sz w:val="18"/>
                <w:szCs w:val="18"/>
                <w:color w:val="auto"/>
              </w:rPr>
            </w:pPr>
          </w:p>
        </w:tc>
        <w:tc>
          <w:tcPr>
            <w:tcW w:w="2740" w:type="dxa"/>
            <w:vAlign w:val="bottom"/>
          </w:tcPr>
          <w:p>
            <w:pPr>
              <w:ind w:left="1920"/>
              <w:spacing w:after="0"/>
              <w:rPr>
                <w:sz w:val="20"/>
                <w:szCs w:val="20"/>
                <w:color w:val="auto"/>
              </w:rPr>
            </w:pPr>
            <w:r>
              <w:rPr>
                <w:rFonts w:ascii="Times New Roman" w:cs="Times New Roman" w:eastAsia="Times New Roman" w:hAnsi="Times New Roman"/>
                <w:sz w:val="18"/>
                <w:szCs w:val="18"/>
                <w:color w:val="auto"/>
              </w:rPr>
              <w:t>Name:</w:t>
            </w:r>
          </w:p>
        </w:tc>
        <w:tc>
          <w:tcPr>
            <w:tcW w:w="4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Gal Krubiner</w:t>
            </w:r>
          </w:p>
        </w:tc>
      </w:tr>
      <w:tr>
        <w:trPr>
          <w:trHeight w:val="234"/>
        </w:trPr>
        <w:tc>
          <w:tcPr>
            <w:tcW w:w="3680" w:type="dxa"/>
            <w:vAlign w:val="bottom"/>
          </w:tcPr>
          <w:p>
            <w:pPr>
              <w:spacing w:after="0"/>
              <w:rPr>
                <w:sz w:val="20"/>
                <w:szCs w:val="20"/>
                <w:color w:val="auto"/>
              </w:rPr>
            </w:pPr>
          </w:p>
        </w:tc>
        <w:tc>
          <w:tcPr>
            <w:tcW w:w="2740" w:type="dxa"/>
            <w:vAlign w:val="bottom"/>
          </w:tcPr>
          <w:p>
            <w:pPr>
              <w:ind w:left="1920"/>
              <w:spacing w:after="0"/>
              <w:rPr>
                <w:sz w:val="20"/>
                <w:szCs w:val="20"/>
                <w:color w:val="auto"/>
              </w:rPr>
            </w:pPr>
            <w:r>
              <w:rPr>
                <w:rFonts w:ascii="Times New Roman" w:cs="Times New Roman" w:eastAsia="Times New Roman" w:hAnsi="Times New Roman"/>
                <w:sz w:val="18"/>
                <w:szCs w:val="18"/>
                <w:color w:val="auto"/>
              </w:rPr>
              <w:t>Title:</w:t>
            </w:r>
          </w:p>
        </w:tc>
        <w:tc>
          <w:tcPr>
            <w:tcW w:w="4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Chief Executive Officer</w:t>
            </w:r>
          </w:p>
        </w:tc>
      </w:tr>
    </w:tbl>
    <w:p>
      <w:pPr>
        <w:sectPr>
          <w:pgSz w:w="11900" w:h="16838" w:orient="portrait"/>
          <w:cols w:equalWidth="0" w:num="1">
            <w:col w:w="11240"/>
          </w:cols>
          <w:pgMar w:left="320" w:top="1413" w:right="339" w:bottom="1440" w:gutter="0" w:footer="0" w:header="0"/>
        </w:sectPr>
      </w:pPr>
    </w:p>
    <w:bookmarkStart w:id="3" w:name="page4"/>
    <w:bookmarkEnd w:id="3"/>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1049020</wp:posOffset>
            </wp:positionV>
            <wp:extent cx="1859915" cy="49720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clrChange>
                        <a:clrFrom>
                          <a:srgbClr val="FFFFFF"/>
                        </a:clrFrom>
                        <a:clrTo>
                          <a:srgbClr val="FFFFFF">
                            <a:alpha val="0"/>
                          </a:srgbClr>
                        </a:clrTo>
                      </a:clrChange>
                      <a:extLst>
                        <a:ext uri="{28A0092B-C50C-407E-A947-70E740481C1C}"/>
                      </a:extLst>
                    </a:blip>
                    <a:srcRect/>
                    <a:stretch>
                      <a:fillRect/>
                    </a:stretch>
                  </pic:blipFill>
                  <pic:spPr bwMode="auto">
                    <a:xfrm>
                      <a:off x="0" y="0"/>
                      <a:ext cx="1859915" cy="4972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spacing w:after="0"/>
        <w:rPr>
          <w:sz w:val="20"/>
          <w:szCs w:val="20"/>
          <w:color w:val="auto"/>
        </w:rPr>
      </w:pPr>
      <w:r>
        <w:rPr>
          <w:rFonts w:ascii="Times New Roman" w:cs="Times New Roman" w:eastAsia="Times New Roman" w:hAnsi="Times New Roman"/>
          <w:sz w:val="47"/>
          <w:szCs w:val="47"/>
          <w:color w:val="auto"/>
        </w:rPr>
        <w:t>Pagaya Reports Fourth Quarter and Full Year 2022 Results</w:t>
      </w:r>
    </w:p>
    <w:p>
      <w:pPr>
        <w:spacing w:after="0" w:line="274" w:lineRule="exact"/>
        <w:rPr>
          <w:sz w:val="20"/>
          <w:szCs w:val="20"/>
          <w:color w:val="auto"/>
        </w:rPr>
      </w:pPr>
    </w:p>
    <w:p>
      <w:pPr>
        <w:ind w:right="320"/>
        <w:spacing w:after="0" w:line="248" w:lineRule="auto"/>
        <w:rPr>
          <w:sz w:val="20"/>
          <w:szCs w:val="20"/>
          <w:color w:val="auto"/>
        </w:rPr>
      </w:pPr>
      <w:r>
        <w:rPr>
          <w:rFonts w:ascii="Arial" w:cs="Arial" w:eastAsia="Arial" w:hAnsi="Arial"/>
          <w:sz w:val="25"/>
          <w:szCs w:val="25"/>
          <w:i w:val="1"/>
          <w:iCs w:val="1"/>
          <w:color w:val="auto"/>
        </w:rPr>
        <w:t>Full year 2022 Network Volume grew 49% year-over-year to $7.3 billion; Total Revenue and Other Income grew 58% to record $749 million, above high end of 2022 guidance; Adjusted EBITDA of ($4.8) million</w:t>
      </w:r>
    </w:p>
    <w:p>
      <w:pPr>
        <w:spacing w:after="0" w:line="189" w:lineRule="exact"/>
        <w:rPr>
          <w:sz w:val="20"/>
          <w:szCs w:val="20"/>
          <w:color w:val="auto"/>
        </w:rPr>
      </w:pPr>
    </w:p>
    <w:p>
      <w:pPr>
        <w:ind w:right="320"/>
        <w:spacing w:after="0" w:line="272" w:lineRule="auto"/>
        <w:rPr>
          <w:sz w:val="20"/>
          <w:szCs w:val="20"/>
          <w:color w:val="auto"/>
        </w:rPr>
      </w:pPr>
      <w:r>
        <w:rPr>
          <w:rFonts w:ascii="Arial" w:cs="Arial" w:eastAsia="Arial" w:hAnsi="Arial"/>
          <w:sz w:val="25"/>
          <w:szCs w:val="25"/>
          <w:i w:val="1"/>
          <w:iCs w:val="1"/>
          <w:color w:val="auto"/>
        </w:rPr>
        <w:t>Fourth quarter Network Volume grew 10% year-over-year to $ 1.8 billion; Total Revenue and Other Income grew 25% to $193 million; Adjusted EBITDA of ($9.0) million</w:t>
      </w:r>
    </w:p>
    <w:p>
      <w:pPr>
        <w:spacing w:after="0" w:line="158" w:lineRule="exact"/>
        <w:rPr>
          <w:sz w:val="20"/>
          <w:szCs w:val="20"/>
          <w:color w:val="auto"/>
        </w:rPr>
      </w:pPr>
    </w:p>
    <w:p>
      <w:pPr>
        <w:spacing w:after="0"/>
        <w:rPr>
          <w:sz w:val="20"/>
          <w:szCs w:val="20"/>
          <w:color w:val="auto"/>
        </w:rPr>
      </w:pPr>
      <w:r>
        <w:rPr>
          <w:rFonts w:ascii="Arial" w:cs="Arial" w:eastAsia="Arial" w:hAnsi="Arial"/>
          <w:sz w:val="25"/>
          <w:szCs w:val="25"/>
          <w:i w:val="1"/>
          <w:iCs w:val="1"/>
          <w:color w:val="auto"/>
        </w:rPr>
        <w:t>Company provides 2023 financial outlook</w:t>
      </w:r>
    </w:p>
    <w:p>
      <w:pPr>
        <w:spacing w:after="0" w:line="241"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434343"/>
        </w:rPr>
        <w:t>New York, NY and Tel Aviv, Israel – February 15, 2023 – Pagaya Technologies Ltd. (NASDAQ: PGY) (“Pagaya”, the “Company” or “we”), a global technology company delivering artificial intelligence infrastructure for the financial ecosystem, today announced financial results for the fourth quarter and full-year of 2022</w:t>
      </w:r>
      <w:r>
        <w:rPr>
          <w:rFonts w:ascii="Times New Roman" w:cs="Times New Roman" w:eastAsia="Times New Roman" w:hAnsi="Times New Roman"/>
          <w:sz w:val="23"/>
          <w:szCs w:val="23"/>
          <w:color w:val="000000"/>
          <w:vertAlign w:val="superscript"/>
        </w:rPr>
        <w:t>1</w:t>
      </w:r>
      <w:r>
        <w:rPr>
          <w:rFonts w:ascii="Times New Roman" w:cs="Times New Roman" w:eastAsia="Times New Roman" w:hAnsi="Times New Roman"/>
          <w:sz w:val="18"/>
          <w:szCs w:val="18"/>
          <w:color w:val="000000"/>
        </w:rPr>
        <w:t>.</w:t>
      </w:r>
    </w:p>
    <w:p>
      <w:pPr>
        <w:spacing w:after="0" w:line="141" w:lineRule="exact"/>
        <w:rPr>
          <w:sz w:val="20"/>
          <w:szCs w:val="20"/>
          <w:color w:val="auto"/>
        </w:rPr>
      </w:pPr>
    </w:p>
    <w:p>
      <w:pPr>
        <w:spacing w:after="0" w:line="265" w:lineRule="auto"/>
        <w:rPr>
          <w:sz w:val="20"/>
          <w:szCs w:val="20"/>
          <w:color w:val="auto"/>
        </w:rPr>
      </w:pPr>
      <w:r>
        <w:rPr>
          <w:rFonts w:ascii="Times New Roman" w:cs="Times New Roman" w:eastAsia="Times New Roman" w:hAnsi="Times New Roman"/>
          <w:sz w:val="17"/>
          <w:szCs w:val="17"/>
          <w:i w:val="1"/>
          <w:iCs w:val="1"/>
          <w:color w:val="434343"/>
        </w:rPr>
        <w:t>“2022 was a record year for Pagaya,” said Gal Krubiner, Chief Executive Officer of Pagaya. “We reached over $7 billion in network volume and grew revenue by 58% to $749 million, approximately 7 times our revenue in 2020. We delivered near break-even adjusted EBITDA while operating in the most challenging credit and rate environment in our company’s history. We went public, strengthened our management team, onboarded large strategic partners, including Visa, Klarna and a top 3 auto lender and elevated our SFR offering with our first acquisition. As we continue the momentum into 2023, we will remain focused on driving further expansion and monetization of our network and achieving sustainable profitability on an adjusted EBITDA basis.”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434343"/>
        </w:rPr>
        <w:t>Full Year and Fourth Quarter 2022 Financial Highlights</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434343"/>
        </w:rPr>
        <w:t>All comparisons are made versus the same period in 2021 unless otherwise stated</w:t>
      </w:r>
    </w:p>
    <w:p>
      <w:pPr>
        <w:spacing w:after="0" w:line="12" w:lineRule="exact"/>
        <w:rPr>
          <w:sz w:val="20"/>
          <w:szCs w:val="20"/>
          <w:color w:val="auto"/>
        </w:rPr>
      </w:pPr>
    </w:p>
    <w:p>
      <w:pPr>
        <w:ind w:left="660" w:right="180" w:hanging="328"/>
        <w:spacing w:after="0" w:line="234" w:lineRule="auto"/>
        <w:tabs>
          <w:tab w:leader="none" w:pos="655" w:val="left"/>
        </w:tabs>
        <w:numPr>
          <w:ilvl w:val="0"/>
          <w:numId w:val="1"/>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434343"/>
        </w:rPr>
        <w:t>Network Volume increased 49% to $7.3 billion in FY22 and increased 10% to $1.8 billion in 4Q22, reflecting growth from existing partners and faster growth from newer products, including auto</w:t>
      </w:r>
    </w:p>
    <w:p>
      <w:pPr>
        <w:spacing w:after="0" w:line="10" w:lineRule="exact"/>
        <w:rPr>
          <w:rFonts w:ascii="Times New Roman" w:cs="Times New Roman" w:eastAsia="Times New Roman" w:hAnsi="Times New Roman"/>
          <w:sz w:val="22"/>
          <w:szCs w:val="22"/>
          <w:color w:val="auto"/>
        </w:rPr>
      </w:pPr>
    </w:p>
    <w:p>
      <w:pPr>
        <w:ind w:left="660" w:right="140" w:hanging="328"/>
        <w:spacing w:after="0" w:line="234" w:lineRule="auto"/>
        <w:tabs>
          <w:tab w:leader="none" w:pos="655" w:val="left"/>
        </w:tabs>
        <w:numPr>
          <w:ilvl w:val="0"/>
          <w:numId w:val="1"/>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434343"/>
        </w:rPr>
        <w:t>Total revenue and other income increased 58% to $748.9 million in FY22 and increased 25% to $192.9 million in 4Q22, mainly due to increased fee revenue from Network Volume growth</w:t>
      </w:r>
    </w:p>
    <w:p>
      <w:pPr>
        <w:spacing w:after="0" w:line="10" w:lineRule="exact"/>
        <w:rPr>
          <w:rFonts w:ascii="Times New Roman" w:cs="Times New Roman" w:eastAsia="Times New Roman" w:hAnsi="Times New Roman"/>
          <w:sz w:val="22"/>
          <w:szCs w:val="22"/>
          <w:color w:val="auto"/>
        </w:rPr>
      </w:pPr>
    </w:p>
    <w:p>
      <w:pPr>
        <w:ind w:left="660" w:hanging="328"/>
        <w:spacing w:after="0" w:line="238" w:lineRule="auto"/>
        <w:tabs>
          <w:tab w:leader="none" w:pos="655" w:val="left"/>
        </w:tabs>
        <w:numPr>
          <w:ilvl w:val="0"/>
          <w:numId w:val="1"/>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434343"/>
        </w:rPr>
        <w:t>Net loss attributable to Pagaya shareholders of $302.3 million in FY22 and $34.0 million in 4Q22, impacted by share-based compensation expense in both periods of $241.7 million and $18.7 million, respectively. Adjusted net loss of $32.7 million in FY22 and $3.7 million in 4Q22, which excludes share-based compensation expense, a change in fair value of warrant liability, other than temporary impairment loss on certain investments, impairment of goodwill and other intangible assets, and non-recurring expenses</w:t>
      </w:r>
    </w:p>
    <w:p>
      <w:pPr>
        <w:spacing w:after="0" w:line="2" w:lineRule="exact"/>
        <w:rPr>
          <w:rFonts w:ascii="Times New Roman" w:cs="Times New Roman" w:eastAsia="Times New Roman" w:hAnsi="Times New Roman"/>
          <w:sz w:val="22"/>
          <w:szCs w:val="22"/>
          <w:color w:val="auto"/>
        </w:rPr>
      </w:pPr>
    </w:p>
    <w:p>
      <w:pPr>
        <w:ind w:left="660" w:right="100" w:hanging="328"/>
        <w:spacing w:after="0" w:line="232" w:lineRule="auto"/>
        <w:tabs>
          <w:tab w:leader="none" w:pos="655" w:val="left"/>
        </w:tabs>
        <w:numPr>
          <w:ilvl w:val="0"/>
          <w:numId w:val="1"/>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434343"/>
        </w:rPr>
        <w:t>Adjusted EBITDA of negative $4.8 million in FY22 and negative $9.0 million in 4Q22, reflecting investment in newer products and partners and ongoing financial markets volatility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266065</wp:posOffset>
            </wp:positionV>
            <wp:extent cx="171450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714500" cy="8890"/>
                    </a:xfrm>
                    <a:prstGeom prst="rect">
                      <a:avLst/>
                    </a:prstGeom>
                    <a:noFill/>
                  </pic:spPr>
                </pic:pic>
              </a:graphicData>
            </a:graphic>
          </wp:anchor>
        </w:drawing>
      </w:r>
    </w:p>
    <w:p>
      <w:pPr>
        <w:spacing w:after="0" w:line="200" w:lineRule="exact"/>
        <w:rPr>
          <w:sz w:val="20"/>
          <w:szCs w:val="20"/>
          <w:color w:val="auto"/>
        </w:rPr>
      </w:pPr>
    </w:p>
    <w:p>
      <w:pPr>
        <w:spacing w:after="0" w:line="236" w:lineRule="exact"/>
        <w:rPr>
          <w:sz w:val="20"/>
          <w:szCs w:val="20"/>
          <w:color w:val="auto"/>
        </w:rPr>
      </w:pPr>
    </w:p>
    <w:p>
      <w:pPr>
        <w:ind w:left="140" w:hanging="132"/>
        <w:spacing w:after="0"/>
        <w:tabs>
          <w:tab w:leader="none" w:pos="140" w:val="left"/>
        </w:tabs>
        <w:numPr>
          <w:ilvl w:val="0"/>
          <w:numId w:val="2"/>
        </w:numPr>
        <w:rPr>
          <w:rFonts w:ascii="Arial" w:cs="Arial" w:eastAsia="Arial" w:hAnsi="Arial"/>
          <w:sz w:val="28"/>
          <w:szCs w:val="28"/>
          <w:color w:val="auto"/>
          <w:vertAlign w:val="superscript"/>
        </w:rPr>
      </w:pPr>
      <w:r>
        <w:rPr>
          <w:rFonts w:ascii="Times New Roman" w:cs="Times New Roman" w:eastAsia="Times New Roman" w:hAnsi="Times New Roman"/>
          <w:sz w:val="16"/>
          <w:szCs w:val="16"/>
          <w:color w:val="auto"/>
        </w:rPr>
        <w:t>The results reported herein and attached financial statements are unaudited.</w:t>
      </w:r>
    </w:p>
    <w:p>
      <w:pPr>
        <w:sectPr>
          <w:pgSz w:w="11900" w:h="16838" w:orient="portrait"/>
          <w:cols w:equalWidth="0" w:num="1">
            <w:col w:w="11220"/>
          </w:cols>
          <w:pgMar w:left="320" w:top="1440" w:right="359" w:bottom="1440" w:gutter="0" w:footer="0" w:header="0"/>
        </w:sectPr>
      </w:pPr>
    </w:p>
    <w:bookmarkStart w:id="4" w:name="page5"/>
    <w:bookmarkEnd w:id="4"/>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434343"/>
        </w:rPr>
        <w:t>2022 Business Highlights</w:t>
      </w:r>
    </w:p>
    <w:p>
      <w:pPr>
        <w:spacing w:after="0" w:line="36" w:lineRule="exact"/>
        <w:rPr>
          <w:sz w:val="20"/>
          <w:szCs w:val="20"/>
          <w:color w:val="auto"/>
        </w:rPr>
      </w:pPr>
    </w:p>
    <w:p>
      <w:pPr>
        <w:ind w:left="660" w:right="160" w:hanging="328"/>
        <w:spacing w:after="0" w:line="228" w:lineRule="auto"/>
        <w:tabs>
          <w:tab w:leader="none" w:pos="655"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b w:val="1"/>
          <w:bCs w:val="1"/>
          <w:color w:val="434343"/>
        </w:rPr>
        <w:t xml:space="preserve">Expanding the network: </w:t>
      </w:r>
      <w:r>
        <w:rPr>
          <w:rFonts w:ascii="Times New Roman" w:cs="Times New Roman" w:eastAsia="Times New Roman" w:hAnsi="Times New Roman"/>
          <w:sz w:val="18"/>
          <w:szCs w:val="18"/>
          <w:color w:val="434343"/>
        </w:rPr>
        <w:t>6 partners joined the Pagaya network in 2022, including a top 3 lender in auto and Klarna in the Company’s point-of-sale product. Pagaya’s solution is now connected to approximately 20,000 franchise and independent auto dealerships through its partners, with approximately $110 billion in auto application volume evaluated in 2022. The Company expanded its single-family rental (“SFR”) offering with the acquisition of Darwin Homes, creating a technologically sophisticated, fully integrated property technology platform</w:t>
      </w:r>
    </w:p>
    <w:p>
      <w:pPr>
        <w:spacing w:after="0" w:line="6" w:lineRule="exact"/>
        <w:rPr>
          <w:rFonts w:ascii="Times New Roman" w:cs="Times New Roman" w:eastAsia="Times New Roman" w:hAnsi="Times New Roman"/>
          <w:sz w:val="22"/>
          <w:szCs w:val="22"/>
          <w:color w:val="auto"/>
        </w:rPr>
      </w:pPr>
    </w:p>
    <w:p>
      <w:pPr>
        <w:ind w:left="660" w:right="120" w:hanging="328"/>
        <w:spacing w:after="0" w:line="232" w:lineRule="auto"/>
        <w:tabs>
          <w:tab w:leader="none" w:pos="655"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b w:val="1"/>
          <w:bCs w:val="1"/>
          <w:color w:val="434343"/>
        </w:rPr>
        <w:t xml:space="preserve">Enabling better outcomes for partners &amp; investors: </w:t>
      </w:r>
      <w:r>
        <w:rPr>
          <w:rFonts w:ascii="Times New Roman" w:cs="Times New Roman" w:eastAsia="Times New Roman" w:hAnsi="Times New Roman"/>
          <w:sz w:val="18"/>
          <w:szCs w:val="18"/>
          <w:color w:val="434343"/>
        </w:rPr>
        <w:t>Continued strong application flow from existing and new partners, with over 53 million</w:t>
      </w:r>
      <w:r>
        <w:rPr>
          <w:rFonts w:ascii="Times New Roman" w:cs="Times New Roman" w:eastAsia="Times New Roman" w:hAnsi="Times New Roman"/>
          <w:sz w:val="18"/>
          <w:szCs w:val="18"/>
          <w:b w:val="1"/>
          <w:bCs w:val="1"/>
          <w:color w:val="434343"/>
        </w:rPr>
        <w:t xml:space="preserve"> </w:t>
      </w:r>
      <w:r>
        <w:rPr>
          <w:rFonts w:ascii="Times New Roman" w:cs="Times New Roman" w:eastAsia="Times New Roman" w:hAnsi="Times New Roman"/>
          <w:sz w:val="18"/>
          <w:szCs w:val="18"/>
          <w:color w:val="434343"/>
        </w:rPr>
        <w:t>applications evaluated in 2022, representing 98% growth compared to the prior year. At the same time, with the benefit of AI-driven insights, the Company proactively reduced its conversion ratio by nearly 50% year-over-year, optimizing for investor returns in this environment by shifting the portfolio to a more resilient borrower archetype</w:t>
      </w:r>
    </w:p>
    <w:p>
      <w:pPr>
        <w:spacing w:after="0" w:line="1" w:lineRule="exact"/>
        <w:rPr>
          <w:rFonts w:ascii="Times New Roman" w:cs="Times New Roman" w:eastAsia="Times New Roman" w:hAnsi="Times New Roman"/>
          <w:sz w:val="22"/>
          <w:szCs w:val="22"/>
          <w:color w:val="auto"/>
        </w:rPr>
      </w:pPr>
    </w:p>
    <w:p>
      <w:pPr>
        <w:ind w:left="660" w:hanging="328"/>
        <w:spacing w:after="0" w:line="230" w:lineRule="auto"/>
        <w:tabs>
          <w:tab w:leader="none" w:pos="66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b w:val="1"/>
          <w:bCs w:val="1"/>
          <w:color w:val="434343"/>
        </w:rPr>
        <w:t xml:space="preserve">Consistently raising capital: </w:t>
      </w:r>
      <w:r>
        <w:rPr>
          <w:rFonts w:ascii="Times New Roman" w:cs="Times New Roman" w:eastAsia="Times New Roman" w:hAnsi="Times New Roman"/>
          <w:sz w:val="18"/>
          <w:szCs w:val="18"/>
          <w:color w:val="434343"/>
        </w:rPr>
        <w:t>Raised over $7 billion in funding into financing vehicles in FY22</w:t>
      </w:r>
    </w:p>
    <w:p>
      <w:pPr>
        <w:spacing w:after="0" w:line="12" w:lineRule="exact"/>
        <w:rPr>
          <w:rFonts w:ascii="Times New Roman" w:cs="Times New Roman" w:eastAsia="Times New Roman" w:hAnsi="Times New Roman"/>
          <w:sz w:val="22"/>
          <w:szCs w:val="22"/>
          <w:color w:val="auto"/>
        </w:rPr>
      </w:pPr>
    </w:p>
    <w:p>
      <w:pPr>
        <w:ind w:left="660" w:right="120" w:hanging="328"/>
        <w:spacing w:after="0" w:line="244" w:lineRule="auto"/>
        <w:tabs>
          <w:tab w:leader="none" w:pos="655"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b w:val="1"/>
          <w:bCs w:val="1"/>
          <w:color w:val="434343"/>
        </w:rPr>
        <w:t xml:space="preserve">Improving operating efficiency: </w:t>
      </w:r>
      <w:r>
        <w:rPr>
          <w:rFonts w:ascii="Times New Roman" w:cs="Times New Roman" w:eastAsia="Times New Roman" w:hAnsi="Times New Roman"/>
          <w:sz w:val="18"/>
          <w:szCs w:val="18"/>
          <w:color w:val="434343"/>
        </w:rPr>
        <w:t>The Company remains focused on improving profitability and driving operating leverage with increasing scale</w:t>
      </w:r>
      <w:r>
        <w:rPr>
          <w:rFonts w:ascii="Times New Roman" w:cs="Times New Roman" w:eastAsia="Times New Roman" w:hAnsi="Times New Roman"/>
          <w:sz w:val="18"/>
          <w:szCs w:val="18"/>
          <w:b w:val="1"/>
          <w:bCs w:val="1"/>
          <w:color w:val="434343"/>
        </w:rPr>
        <w:t xml:space="preserve"> </w:t>
      </w:r>
      <w:r>
        <w:rPr>
          <w:rFonts w:ascii="Times New Roman" w:cs="Times New Roman" w:eastAsia="Times New Roman" w:hAnsi="Times New Roman"/>
          <w:sz w:val="18"/>
          <w:szCs w:val="18"/>
          <w:color w:val="434343"/>
        </w:rPr>
        <w:t>and disciplined cost management. Its operating expense ratio, defined as operating expenses excluding stock-based compensation expense as a percentage of total revenue &amp; other income, declined from 43% in the first half of 2022 to 39% in the second half of 2022</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2023 Outlook</w:t>
      </w:r>
    </w:p>
    <w:p>
      <w:pPr>
        <w:spacing w:after="0" w:line="50" w:lineRule="exact"/>
        <w:rPr>
          <w:sz w:val="20"/>
          <w:szCs w:val="20"/>
          <w:color w:val="auto"/>
        </w:rPr>
      </w:pPr>
    </w:p>
    <w:p>
      <w:pPr>
        <w:ind w:left="2900"/>
        <w:spacing w:after="0"/>
        <w:rPr>
          <w:sz w:val="20"/>
          <w:szCs w:val="20"/>
          <w:color w:val="auto"/>
        </w:rPr>
      </w:pPr>
      <w:r>
        <w:rPr>
          <w:rFonts w:ascii="Times New Roman" w:cs="Times New Roman" w:eastAsia="Times New Roman" w:hAnsi="Times New Roman"/>
          <w:sz w:val="18"/>
          <w:szCs w:val="18"/>
          <w:b w:val="1"/>
          <w:bCs w:val="1"/>
          <w:color w:val="auto"/>
        </w:rPr>
        <w:t>First Quarter of 2023</w:t>
      </w:r>
    </w:p>
    <w:p>
      <w:pPr>
        <w:sectPr>
          <w:pgSz w:w="11900" w:h="16838" w:orient="portrait"/>
          <w:cols w:equalWidth="0" w:num="1">
            <w:col w:w="11220"/>
          </w:cols>
          <w:pgMar w:left="320" w:top="1440" w:right="359" w:bottom="1440" w:gutter="0" w:footer="0" w:header="0"/>
        </w:sectPr>
      </w:pPr>
    </w:p>
    <w:p>
      <w:pPr>
        <w:spacing w:after="0" w:line="5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Network Volume</w:t>
      </w:r>
    </w:p>
    <w:p>
      <w:pPr>
        <w:spacing w:after="0" w:line="20" w:lineRule="exact"/>
        <w:rPr>
          <w:sz w:val="20"/>
          <w:szCs w:val="20"/>
          <w:color w:val="auto"/>
        </w:rPr>
      </w:pPr>
      <w:r>
        <w:rPr>
          <w:sz w:val="20"/>
          <w:szCs w:val="20"/>
          <w:color w:val="auto"/>
        </w:rPr>
        <w:br w:type="column"/>
      </w:r>
    </w:p>
    <w:p>
      <w:pPr>
        <w:spacing w:after="0" w:line="3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Expected to range between $1.7 billion and $1.8 billion</w:t>
      </w:r>
    </w:p>
    <w:p>
      <w:pPr>
        <w:spacing w:after="0" w:line="61" w:lineRule="exact"/>
        <w:rPr>
          <w:sz w:val="20"/>
          <w:szCs w:val="20"/>
          <w:color w:val="auto"/>
        </w:rPr>
      </w:pPr>
    </w:p>
    <w:p>
      <w:pPr>
        <w:sectPr>
          <w:pgSz w:w="11900" w:h="16838" w:orient="portrait"/>
          <w:cols w:equalWidth="0" w:num="2">
            <w:col w:w="2180" w:space="720"/>
            <w:col w:w="8320"/>
          </w:cols>
          <w:pgMar w:left="320" w:top="1440" w:right="359" w:bottom="1440" w:gutter="0" w:footer="0" w:header="0"/>
          <w:type w:val="continuous"/>
        </w:sectPr>
      </w:pPr>
    </w:p>
    <w:p>
      <w:pPr>
        <w:ind w:left="20"/>
        <w:spacing w:after="0"/>
        <w:rPr>
          <w:sz w:val="20"/>
          <w:szCs w:val="20"/>
          <w:color w:val="auto"/>
        </w:rPr>
      </w:pPr>
      <w:r>
        <w:rPr>
          <w:rFonts w:ascii="Times New Roman" w:cs="Times New Roman" w:eastAsia="Times New Roman" w:hAnsi="Times New Roman"/>
          <w:sz w:val="17"/>
          <w:szCs w:val="17"/>
          <w:color w:val="auto"/>
        </w:rPr>
        <w:t>Total Revenue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color w:val="auto"/>
        </w:rPr>
        <w:t>Expected to range between $175 million and $180 million</w:t>
      </w:r>
    </w:p>
    <w:p>
      <w:pPr>
        <w:spacing w:after="0" w:line="61" w:lineRule="exact"/>
        <w:rPr>
          <w:sz w:val="20"/>
          <w:szCs w:val="20"/>
          <w:color w:val="auto"/>
        </w:rPr>
      </w:pPr>
    </w:p>
    <w:p>
      <w:pPr>
        <w:sectPr>
          <w:pgSz w:w="11900" w:h="16838" w:orient="portrait"/>
          <w:cols w:equalWidth="0" w:num="2">
            <w:col w:w="2180" w:space="720"/>
            <w:col w:w="8320"/>
          </w:cols>
          <w:pgMar w:left="320" w:top="1440" w:right="359" w:bottom="1440" w:gutter="0" w:footer="0" w:header="0"/>
          <w:type w:val="continuous"/>
        </w:sectPr>
      </w:pPr>
    </w:p>
    <w:p>
      <w:pPr>
        <w:ind w:left="20"/>
        <w:spacing w:after="0"/>
        <w:rPr>
          <w:sz w:val="20"/>
          <w:szCs w:val="20"/>
          <w:color w:val="auto"/>
        </w:rPr>
      </w:pPr>
      <w:r>
        <w:rPr>
          <w:rFonts w:ascii="Times New Roman" w:cs="Times New Roman" w:eastAsia="Times New Roman" w:hAnsi="Times New Roman"/>
          <w:sz w:val="18"/>
          <w:szCs w:val="18"/>
          <w:color w:val="auto"/>
        </w:rPr>
        <w:t>Adjusted EBITDA</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8"/>
          <w:szCs w:val="18"/>
          <w:color w:val="auto"/>
        </w:rPr>
        <w:t>Expected to range between negative $5 million and $0</w:t>
      </w:r>
    </w:p>
    <w:p>
      <w:pPr>
        <w:spacing w:after="0" w:line="200" w:lineRule="exact"/>
        <w:rPr>
          <w:sz w:val="20"/>
          <w:szCs w:val="20"/>
          <w:color w:val="auto"/>
        </w:rPr>
      </w:pPr>
    </w:p>
    <w:p>
      <w:pPr>
        <w:sectPr>
          <w:pgSz w:w="11900" w:h="16838" w:orient="portrait"/>
          <w:cols w:equalWidth="0" w:num="2">
            <w:col w:w="2180" w:space="720"/>
            <w:col w:w="8320"/>
          </w:cols>
          <w:pgMar w:left="320" w:top="1440" w:right="359" w:bottom="1440" w:gutter="0" w:footer="0" w:header="0"/>
          <w:type w:val="continuous"/>
        </w:sectPr>
      </w:pPr>
    </w:p>
    <w:p>
      <w:pPr>
        <w:spacing w:after="0" w:line="197" w:lineRule="exact"/>
        <w:rPr>
          <w:sz w:val="20"/>
          <w:szCs w:val="20"/>
          <w:color w:val="auto"/>
        </w:rPr>
      </w:pPr>
    </w:p>
    <w:p>
      <w:pPr>
        <w:ind w:left="2900"/>
        <w:spacing w:after="0"/>
        <w:rPr>
          <w:sz w:val="20"/>
          <w:szCs w:val="20"/>
          <w:color w:val="auto"/>
        </w:rPr>
      </w:pPr>
      <w:r>
        <w:rPr>
          <w:rFonts w:ascii="Times New Roman" w:cs="Times New Roman" w:eastAsia="Times New Roman" w:hAnsi="Times New Roman"/>
          <w:sz w:val="17"/>
          <w:szCs w:val="17"/>
          <w:b w:val="1"/>
          <w:bCs w:val="1"/>
          <w:color w:val="auto"/>
        </w:rPr>
        <w:t>Full Year 2023</w:t>
      </w:r>
    </w:p>
    <w:p>
      <w:pPr>
        <w:sectPr>
          <w:pgSz w:w="11900" w:h="16838" w:orient="portrait"/>
          <w:cols w:equalWidth="0" w:num="1">
            <w:col w:w="11220"/>
          </w:cols>
          <w:pgMar w:left="320" w:top="1440" w:right="359" w:bottom="1440" w:gutter="0" w:footer="0" w:header="0"/>
          <w:type w:val="continuous"/>
        </w:sectPr>
      </w:pPr>
    </w:p>
    <w:p>
      <w:pPr>
        <w:spacing w:after="0" w:line="32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Total Revenue</w:t>
      </w:r>
    </w:p>
    <w:p>
      <w:pPr>
        <w:spacing w:after="0" w:line="20" w:lineRule="exact"/>
        <w:rPr>
          <w:sz w:val="20"/>
          <w:szCs w:val="20"/>
          <w:color w:val="auto"/>
        </w:rPr>
      </w:pPr>
      <w:r>
        <w:rPr>
          <w:sz w:val="20"/>
          <w:szCs w:val="20"/>
          <w:color w:val="auto"/>
        </w:rPr>
        <w:br w:type="column"/>
      </w:r>
    </w:p>
    <w:p>
      <w:pPr>
        <w:spacing w:after="0" w:line="30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Expected to range between $775 million and $825 million</w:t>
      </w:r>
    </w:p>
    <w:p>
      <w:pPr>
        <w:spacing w:after="0" w:line="61" w:lineRule="exact"/>
        <w:rPr>
          <w:sz w:val="20"/>
          <w:szCs w:val="20"/>
          <w:color w:val="auto"/>
        </w:rPr>
      </w:pPr>
    </w:p>
    <w:p>
      <w:pPr>
        <w:sectPr>
          <w:pgSz w:w="11900" w:h="16838" w:orient="portrait"/>
          <w:cols w:equalWidth="0" w:num="2">
            <w:col w:w="2180" w:space="720"/>
            <w:col w:w="8320"/>
          </w:cols>
          <w:pgMar w:left="320" w:top="1440" w:right="359" w:bottom="1440" w:gutter="0" w:footer="0" w:header="0"/>
          <w:type w:val="continuous"/>
        </w:sectPr>
      </w:pPr>
    </w:p>
    <w:p>
      <w:pPr>
        <w:ind w:left="20"/>
        <w:spacing w:after="0"/>
        <w:rPr>
          <w:sz w:val="20"/>
          <w:szCs w:val="20"/>
          <w:color w:val="auto"/>
        </w:rPr>
      </w:pPr>
      <w:r>
        <w:rPr>
          <w:rFonts w:ascii="Times New Roman" w:cs="Times New Roman" w:eastAsia="Times New Roman" w:hAnsi="Times New Roman"/>
          <w:sz w:val="18"/>
          <w:szCs w:val="18"/>
          <w:color w:val="auto"/>
        </w:rPr>
        <w:t>Adjusted EBITDA</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color w:val="auto"/>
        </w:rPr>
        <w:t>Expected to range between $10 million and $25 million</w:t>
      </w:r>
    </w:p>
    <w:p>
      <w:pPr>
        <w:spacing w:after="0" w:line="211" w:lineRule="exact"/>
        <w:rPr>
          <w:sz w:val="20"/>
          <w:szCs w:val="20"/>
          <w:color w:val="auto"/>
        </w:rPr>
      </w:pPr>
    </w:p>
    <w:p>
      <w:pPr>
        <w:sectPr>
          <w:pgSz w:w="11900" w:h="16838" w:orient="portrait"/>
          <w:cols w:equalWidth="0" w:num="2">
            <w:col w:w="2180" w:space="720"/>
            <w:col w:w="8320"/>
          </w:cols>
          <w:pgMar w:left="320" w:top="1440" w:right="359" w:bottom="1440" w:gutter="0" w:footer="0" w:header="0"/>
          <w:type w:val="continuous"/>
        </w:sect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5"/>
          <w:szCs w:val="25"/>
          <w:b w:val="1"/>
          <w:bCs w:val="1"/>
          <w:color w:val="auto"/>
        </w:rPr>
        <w:t>Webcast</w:t>
      </w:r>
    </w:p>
    <w:p>
      <w:pPr>
        <w:spacing w:after="0" w:line="27" w:lineRule="exact"/>
        <w:rPr>
          <w:sz w:val="20"/>
          <w:szCs w:val="20"/>
          <w:color w:val="auto"/>
        </w:rPr>
      </w:pPr>
    </w:p>
    <w:p>
      <w:pPr>
        <w:spacing w:after="0" w:line="237" w:lineRule="auto"/>
        <w:rPr>
          <w:sz w:val="20"/>
          <w:szCs w:val="20"/>
          <w:color w:val="auto"/>
        </w:rPr>
      </w:pPr>
      <w:r>
        <w:rPr>
          <w:rFonts w:ascii="Times New Roman" w:cs="Times New Roman" w:eastAsia="Times New Roman" w:hAnsi="Times New Roman"/>
          <w:sz w:val="18"/>
          <w:szCs w:val="18"/>
          <w:color w:val="434343"/>
        </w:rPr>
        <w:t>The Company will hold a webcast and conference call today, February 15, 2023 at 8:30 a.m. Eastern Time. A live webcast of the call will be available via the Investor Relations section of the Company’s website at investor.pagaya.com. To listen to the live webcast, please go to the site at least five minutes prior to the scheduled start time in order to register, download and install any necessary audio software. Shortly before the call, a copy of the accompanying presentation will be made available on the Company’s website. Shortly after the call, a replay of the webcast will be available for 90 days on the Company’s website.</w:t>
      </w:r>
    </w:p>
    <w:p>
      <w:pPr>
        <w:spacing w:after="0" w:line="200"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434343"/>
        </w:rPr>
        <w:t>The conference call can also be accessed by dialing 1-877-407-9208 or 1-201-493-6784. The telephone replay can be accessed by dialing 1-844-512-2921 or 1-412-317-6671 and providing the conference ID# 13735076. The telephone replay will be available starting shortly after the call until Wednesday, March 1</w:t>
      </w:r>
      <w:r>
        <w:rPr>
          <w:rFonts w:ascii="Times New Roman" w:cs="Times New Roman" w:eastAsia="Times New Roman" w:hAnsi="Times New Roman"/>
          <w:sz w:val="23"/>
          <w:szCs w:val="23"/>
          <w:color w:val="434343"/>
          <w:vertAlign w:val="superscript"/>
        </w:rPr>
        <w:t>st</w:t>
      </w:r>
      <w:r>
        <w:rPr>
          <w:rFonts w:ascii="Times New Roman" w:cs="Times New Roman" w:eastAsia="Times New Roman" w:hAnsi="Times New Roman"/>
          <w:sz w:val="18"/>
          <w:szCs w:val="18"/>
          <w:color w:val="434343"/>
        </w:rPr>
        <w:t>, 2023. A replay will also be available on the Investor Relations website following the call.</w:t>
      </w:r>
    </w:p>
    <w:p>
      <w:pPr>
        <w:spacing w:after="0" w:line="102" w:lineRule="exact"/>
        <w:rPr>
          <w:sz w:val="20"/>
          <w:szCs w:val="20"/>
          <w:color w:val="auto"/>
        </w:rPr>
      </w:pPr>
    </w:p>
    <w:p>
      <w:pPr>
        <w:spacing w:after="0"/>
        <w:rPr>
          <w:sz w:val="20"/>
          <w:szCs w:val="20"/>
          <w:color w:val="auto"/>
        </w:rPr>
      </w:pPr>
      <w:r>
        <w:rPr>
          <w:rFonts w:ascii="Times New Roman" w:cs="Times New Roman" w:eastAsia="Times New Roman" w:hAnsi="Times New Roman"/>
          <w:sz w:val="25"/>
          <w:szCs w:val="25"/>
          <w:b w:val="1"/>
          <w:bCs w:val="1"/>
          <w:color w:val="auto"/>
        </w:rPr>
        <w:t>About Pagaya Technologies</w:t>
      </w:r>
    </w:p>
    <w:p>
      <w:pPr>
        <w:sectPr>
          <w:pgSz w:w="11900" w:h="16838" w:orient="portrait"/>
          <w:cols w:equalWidth="0" w:num="1">
            <w:col w:w="11220"/>
          </w:cols>
          <w:pgMar w:left="320" w:top="1440" w:right="359" w:bottom="1440" w:gutter="0" w:footer="0" w:header="0"/>
          <w:type w:val="continuous"/>
        </w:sectPr>
      </w:pPr>
    </w:p>
    <w:bookmarkStart w:id="5" w:name="page6"/>
    <w:bookmarkEnd w:id="5"/>
    <w:p>
      <w:pPr>
        <w:spacing w:after="0" w:line="180" w:lineRule="exact"/>
        <w:rPr>
          <w:sz w:val="20"/>
          <w:szCs w:val="20"/>
          <w:color w:val="auto"/>
        </w:rPr>
      </w:pPr>
    </w:p>
    <w:p>
      <w:pPr>
        <w:ind w:right="180"/>
        <w:spacing w:after="0" w:line="242" w:lineRule="auto"/>
        <w:rPr>
          <w:sz w:val="20"/>
          <w:szCs w:val="20"/>
          <w:color w:val="auto"/>
        </w:rPr>
      </w:pPr>
      <w:r>
        <w:rPr>
          <w:rFonts w:ascii="Times New Roman" w:cs="Times New Roman" w:eastAsia="Times New Roman" w:hAnsi="Times New Roman"/>
          <w:sz w:val="18"/>
          <w:szCs w:val="18"/>
          <w:color w:val="434343"/>
        </w:rPr>
        <w:t xml:space="preserve">Pagaya (NASDAQ: PGY) is a global technology company making life-changing financial products and services available to more people nationwide. By using machine learning, a vast data network and a sophisticated AI-driven approach, Pagaya provides comprehensive consumer credit and residential real estate solutions for its partners, their customers, and investors. Its proprietary API and capital solutions integrate into its network of partners to deliver seamless user experiences and greater access to the mainstream economy. Pagaya has offices in New York and Tel Aviv. For more information, visit </w:t>
      </w:r>
      <w:r>
        <w:rPr>
          <w:rFonts w:ascii="Times New Roman" w:cs="Times New Roman" w:eastAsia="Times New Roman" w:hAnsi="Times New Roman"/>
          <w:sz w:val="18"/>
          <w:szCs w:val="18"/>
          <w:color w:val="1155CC"/>
        </w:rPr>
        <w:t>pagaya.com</w:t>
      </w:r>
      <w:r>
        <w:rPr>
          <w:rFonts w:ascii="Times New Roman" w:cs="Times New Roman" w:eastAsia="Times New Roman" w:hAnsi="Times New Roman"/>
          <w:sz w:val="18"/>
          <w:szCs w:val="18"/>
          <w:color w:val="434343"/>
        </w:rPr>
        <w:t>.</w:t>
      </w:r>
    </w:p>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25"/>
          <w:szCs w:val="25"/>
          <w:b w:val="1"/>
          <w:bCs w:val="1"/>
          <w:color w:val="auto"/>
        </w:rPr>
        <w:t>Cautionary Note About Forward-Looking Statements</w:t>
      </w:r>
    </w:p>
    <w:p>
      <w:pPr>
        <w:spacing w:after="0" w:line="47" w:lineRule="exact"/>
        <w:rPr>
          <w:sz w:val="20"/>
          <w:szCs w:val="20"/>
          <w:color w:val="auto"/>
        </w:rPr>
      </w:pPr>
    </w:p>
    <w:p>
      <w:pPr>
        <w:spacing w:after="0" w:line="234" w:lineRule="auto"/>
        <w:rPr>
          <w:sz w:val="20"/>
          <w:szCs w:val="20"/>
          <w:color w:val="auto"/>
        </w:rPr>
      </w:pPr>
      <w:r>
        <w:rPr>
          <w:rFonts w:ascii="Times New Roman" w:cs="Times New Roman" w:eastAsia="Times New Roman" w:hAnsi="Times New Roman"/>
          <w:sz w:val="18"/>
          <w:szCs w:val="18"/>
          <w:color w:val="434343"/>
        </w:rPr>
        <w:t>This document contains forward-looking statements within the meaning of Section 27A of the Securities Act of 1933, as amended, and Section 21E of the Securities Exchange Act of 1934, as amended, that involve risks and uncertainties. These forward-looking statements generally are identified by the words “anticipate,” “believe,” “continue,” “can,” “could,” “estimate,” “expect,” “intend,” “may,” “opportunity,” “future,” “strategy,” “might,” “outlook,” “plan,” “possible,” “potential,” “predict,” “project,” “should,” “strive,” “will,” “would,” “will be,” “will continue,” “will likely result,” and similar expressions. All statements other than statements of historical fact are forward-looking statements, including statements regarding: the finalization of any adjustments identified by the Company’s auditors in the course of their review and audit, of the Company's financial statements for the fourth fiscal quarter and fiscal year ended December 31, 2022; the Company’s strategy and future operations, including the Company’s partnerships with certain key providers; the development, innovation, introduction and performance of, and demand for, the Company’s products and services; the Company’s ability to continue to invest in the long-term growth and scalability of its business; the Company’s future growth, investments, brand awareness, financial position, gross market value, revenue, transaction costs, operating income, provision for credit losses, and cash flows; general economic trends and trends in the Company’s industry and markets; anticipated annualized cost savings and expectations with respect to the reduction in force, including anticipated benefits and cost reductions; integration of Darwin Homes and ability to achieve anticipated benefits for such acquisition; ability to scale and increase growth in auto sector and single-family rental sector; targeted operating expense ratio for 2023; our focus on driving further expansion and monetization of our network and achieving sustainable profitability on an adjusted EBITDA basis; and the Company’s financial outlook for the first quarter and full year of 2023. These forward-looking statements involve known and unknown risks, uncertainties and other important factors that may cause the Company's actual results, performance or achievements to be materially different from any future results, performance or achievements expressed or implied by the forward-looking statements. Risks, uncertainties and assumptions include factors relating to: the Company's ability to attract new partners and to retain and grow its relationships with existing partners to support the underlying investment needs for its securitizations and funds products; the need to maintain a consistently high level of trust in its brand; the concentration of a large percentage of its investment revenue with a small number of partners and platforms; its ability to sustain its revenue growth rate or the growth rate of its related key operating metrics; its ability to improve, operate and implement its technology, its existing funding arrangements for the Company and its affiliates that may not be renewed or replaced or its existing funding sources that may be unwilling or unable to provide funding to it on terms acceptable to it, or at all; the performance of loans facilitated through its model; changes in market interest rates; its securitizations, warehouse credit facility agreements; the impact on its business of general economic conditions, including, but not limited to rising interest rates, inflation, supply chain disruptions, exchange rate fluctuations and labor shortages; the effect of and uncertainties related to the COVID-19 pandemic (including any government responses thereto); the financial performance of its partners, and fluctuations in the U.S. consumer credit and housing market; its ability to grow effectively through strategic alliances; seasonal fluctuations in our revenue as a result of consumer spending and saving patterns; pending and future litigation, regulatory actions and/or compliance issues including with respect to the merger with EJF Acquisition Corp.; and other risks that are described in and the Company’s Form 6-K filed on August 16, 2022 and subsequent filings with the U.S. Securities and Exchange Commission. These forward-looking statements reflect the Company's views with respect to future events as of the date hereof and are based on assumptions and subject to risks and uncertainties. Given these uncertainties, investors should not place undue reliance on these forward-looking statements. The forward-looking statements are made as of the date hereof, reflect the Company’s current beliefs and are based on information currently available as of the date they are made, and the Company assumes no obligation and does not intend to update these forward-looking statements.</w:t>
      </w:r>
    </w:p>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25"/>
          <w:szCs w:val="25"/>
          <w:b w:val="1"/>
          <w:bCs w:val="1"/>
          <w:color w:val="auto"/>
        </w:rPr>
        <w:t>Financial Information; Non-GAAP Financial Measures</w:t>
      </w:r>
    </w:p>
    <w:p>
      <w:pPr>
        <w:spacing w:after="0" w:line="61" w:lineRule="exact"/>
        <w:rPr>
          <w:sz w:val="20"/>
          <w:szCs w:val="20"/>
          <w:color w:val="auto"/>
        </w:rPr>
      </w:pPr>
    </w:p>
    <w:p>
      <w:pPr>
        <w:ind w:right="160"/>
        <w:spacing w:after="0" w:line="289" w:lineRule="auto"/>
        <w:rPr>
          <w:sz w:val="20"/>
          <w:szCs w:val="20"/>
          <w:color w:val="auto"/>
        </w:rPr>
      </w:pPr>
      <w:r>
        <w:rPr>
          <w:rFonts w:ascii="Times New Roman" w:cs="Times New Roman" w:eastAsia="Times New Roman" w:hAnsi="Times New Roman"/>
          <w:sz w:val="18"/>
          <w:szCs w:val="18"/>
          <w:color w:val="434343"/>
        </w:rPr>
        <w:t>Some of the unaudited financial information and data contained in this press release and Form 6-K, such as Adjusted EBITDA, have not been prepared in accordance with United States generally accepted accounting principles (“GAAP”). To supplement the unaudited consolidated financial statements prepared and presented in accordance</w:t>
      </w:r>
    </w:p>
    <w:p>
      <w:pPr>
        <w:sectPr>
          <w:pgSz w:w="11900" w:h="16838" w:orient="portrait"/>
          <w:cols w:equalWidth="0" w:num="1">
            <w:col w:w="11240"/>
          </w:cols>
          <w:pgMar w:left="320" w:top="1440" w:right="339" w:bottom="1440" w:gutter="0" w:footer="0" w:header="0"/>
        </w:sectPr>
      </w:pPr>
    </w:p>
    <w:bookmarkStart w:id="6" w:name="page7"/>
    <w:bookmarkEnd w:id="6"/>
    <w:p>
      <w:pPr>
        <w:spacing w:after="0" w:line="207" w:lineRule="exact"/>
        <w:rPr>
          <w:sz w:val="20"/>
          <w:szCs w:val="20"/>
          <w:color w:val="auto"/>
        </w:rPr>
      </w:pPr>
    </w:p>
    <w:p>
      <w:pPr>
        <w:spacing w:after="0" w:line="278" w:lineRule="auto"/>
        <w:rPr>
          <w:sz w:val="20"/>
          <w:szCs w:val="20"/>
          <w:color w:val="auto"/>
        </w:rPr>
      </w:pPr>
      <w:r>
        <w:rPr>
          <w:rFonts w:ascii="Times New Roman" w:cs="Times New Roman" w:eastAsia="Times New Roman" w:hAnsi="Times New Roman"/>
          <w:sz w:val="18"/>
          <w:szCs w:val="18"/>
          <w:color w:val="434343"/>
        </w:rPr>
        <w:t>with GAAP, management uses the non-GAAP financial measures Adjusted Net Income (Loss) and Adjusted EBITDA to provide investors with additional information about our financial performance and to enhance the overall understanding of the results of operations by highlighting the results from ongoing operations and the underlying profitability of our business. Management believes it provides an additional tool for investors to use in comparing our core financial performance over multiple periods with the performance of other companies. However, non-GAAP financial measures have limitations in their usefulness to investors because they have no standardized meaning prescribed by GAAP and are not prepared under any comprehensive set of accounting rules or principles. In addition, non-GAAP financial measures may be calculated differently from, and therefore may not be directly comparable to, similarly titled measures used by other companies. As a result, non-GAAP financial measures should be viewed as supplementing, and not as an alternative or substitute for, our unaudited consolidated financial statements prepared and presented in accordance with GAAP. To address these limitations, management provides a reconciliation of Adjusted Net Income (Loss) and Adjusted EBITDA to net income (loss) attributable to Pagaya’s shareholders. Management encourages investors and others to review our financial information in its entirety, not to rely on any single financial measure and to view Adjusted Net Income (Loss) and Adjusted EBITDA in conjunction with its respective related GAAP financial measures.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434343"/>
        </w:rPr>
        <w:t>Non-GAAP financial measures include the following item:</w:t>
      </w:r>
    </w:p>
    <w:p>
      <w:pPr>
        <w:spacing w:after="0" w:line="27" w:lineRule="exact"/>
        <w:rPr>
          <w:sz w:val="20"/>
          <w:szCs w:val="20"/>
          <w:color w:val="auto"/>
        </w:rPr>
      </w:pPr>
    </w:p>
    <w:p>
      <w:pPr>
        <w:jc w:val="both"/>
        <w:ind w:right="200"/>
        <w:spacing w:after="0" w:line="294" w:lineRule="auto"/>
        <w:rPr>
          <w:sz w:val="20"/>
          <w:szCs w:val="20"/>
          <w:color w:val="auto"/>
        </w:rPr>
      </w:pPr>
      <w:r>
        <w:rPr>
          <w:rFonts w:ascii="Times New Roman" w:cs="Times New Roman" w:eastAsia="Times New Roman" w:hAnsi="Times New Roman"/>
          <w:sz w:val="18"/>
          <w:szCs w:val="18"/>
          <w:color w:val="434343"/>
        </w:rPr>
        <w:t>Adjusted Net Income (Loss) is defined as net income (loss) attributable to Pagaya Technologies Ltd.’s shareholders excluding share-based compensation expense, change in fair value of warrant liability, and non-recurring expenses associated with the business combination with EJF Acquisition Corp. (the “Merger”).</w:t>
      </w:r>
    </w:p>
    <w:p>
      <w:pPr>
        <w:spacing w:after="0" w:line="193" w:lineRule="exact"/>
        <w:rPr>
          <w:sz w:val="20"/>
          <w:szCs w:val="20"/>
          <w:color w:val="auto"/>
        </w:rPr>
      </w:pPr>
    </w:p>
    <w:p>
      <w:pPr>
        <w:ind w:right="220"/>
        <w:spacing w:after="0" w:line="289" w:lineRule="auto"/>
        <w:rPr>
          <w:sz w:val="20"/>
          <w:szCs w:val="20"/>
          <w:color w:val="auto"/>
        </w:rPr>
      </w:pPr>
      <w:r>
        <w:rPr>
          <w:rFonts w:ascii="Times New Roman" w:cs="Times New Roman" w:eastAsia="Times New Roman" w:hAnsi="Times New Roman"/>
          <w:sz w:val="18"/>
          <w:szCs w:val="18"/>
          <w:color w:val="434343"/>
        </w:rPr>
        <w:t>Adjusted EBITDA is defined as net income (loss) attributable to Pagaya Technologies Ltd.’s shareholders excluding share-based compensation expense, change in fair value of warrant liability, non-recurring expenses associated with the Merger, interest expense, depreciation expense, and provision for income taxes.</w:t>
      </w:r>
    </w:p>
    <w:p>
      <w:pPr>
        <w:spacing w:after="0" w:line="211" w:lineRule="exact"/>
        <w:rPr>
          <w:sz w:val="20"/>
          <w:szCs w:val="20"/>
          <w:color w:val="auto"/>
        </w:rPr>
      </w:pPr>
    </w:p>
    <w:p>
      <w:pPr>
        <w:ind w:right="160"/>
        <w:spacing w:after="0" w:line="289" w:lineRule="auto"/>
        <w:rPr>
          <w:sz w:val="20"/>
          <w:szCs w:val="20"/>
          <w:color w:val="auto"/>
        </w:rPr>
      </w:pPr>
      <w:r>
        <w:rPr>
          <w:rFonts w:ascii="Times New Roman" w:cs="Times New Roman" w:eastAsia="Times New Roman" w:hAnsi="Times New Roman"/>
          <w:sz w:val="18"/>
          <w:szCs w:val="18"/>
          <w:color w:val="434343"/>
        </w:rPr>
        <w:t>These items are excluded from our Adjusted Net Income (Loss) and Adjusted EBITDA measures because they are noncash in nature, or because the amount and timing of these items is unpredictable, is not driven by core results of operations and renders comparisons with prior periods and competitors less meaningful.</w:t>
      </w:r>
    </w:p>
    <w:p>
      <w:pPr>
        <w:spacing w:after="0" w:line="211" w:lineRule="exact"/>
        <w:rPr>
          <w:sz w:val="20"/>
          <w:szCs w:val="20"/>
          <w:color w:val="auto"/>
        </w:rPr>
      </w:pPr>
    </w:p>
    <w:p>
      <w:pPr>
        <w:ind w:right="80"/>
        <w:spacing w:after="0" w:line="279" w:lineRule="auto"/>
        <w:rPr>
          <w:sz w:val="20"/>
          <w:szCs w:val="20"/>
          <w:color w:val="auto"/>
        </w:rPr>
      </w:pPr>
      <w:r>
        <w:rPr>
          <w:rFonts w:ascii="Times New Roman" w:cs="Times New Roman" w:eastAsia="Times New Roman" w:hAnsi="Times New Roman"/>
          <w:sz w:val="18"/>
          <w:szCs w:val="18"/>
          <w:color w:val="434343"/>
        </w:rPr>
        <w:t>We believe Adjusted Net Income (Loss) and Adjusted EBITDA provide useful information to investors and others in understanding and evaluating our results of operations, as well as providing a useful measure for period-to-period comparisons of our business performance. Moreover, we have included Adjusted Net Income (Loss) and Adjusted EBITDA because these are key measurements used by our management internally to make operating decisions, including those related to operating expenses, evaluate performance, and perform strategic planning and annual budgeting. However, this non-GAAP financial information is presented for supplemental informational purposes only, should not be considered a substitute for or superior to financial information presented in accordance with GAAP and may be different from similarly titled non-GAAP financial measures used by other companies. The tables below provide reconciliations of Adjusted EBITDA to Net Loss Attributable to Pagaya Technologies Ltd., its most directly comparable GAAP amount.</w:t>
      </w:r>
    </w:p>
    <w:p>
      <w:pPr>
        <w:spacing w:after="0" w:line="222" w:lineRule="exact"/>
        <w:rPr>
          <w:sz w:val="20"/>
          <w:szCs w:val="20"/>
          <w:color w:val="auto"/>
        </w:rPr>
      </w:pPr>
    </w:p>
    <w:p>
      <w:pPr>
        <w:ind w:right="60"/>
        <w:spacing w:after="0" w:line="281" w:lineRule="auto"/>
        <w:rPr>
          <w:sz w:val="20"/>
          <w:szCs w:val="20"/>
          <w:color w:val="auto"/>
        </w:rPr>
      </w:pPr>
      <w:r>
        <w:rPr>
          <w:rFonts w:ascii="Times New Roman" w:cs="Times New Roman" w:eastAsia="Times New Roman" w:hAnsi="Times New Roman"/>
          <w:sz w:val="18"/>
          <w:szCs w:val="18"/>
          <w:color w:val="434343"/>
        </w:rPr>
        <w:t>In addition, outlook for the fiscal year, where adjusted, is provided on a non-GAAP basis, which Pagaya will continue to identify as it reports its future financial results. The Company cannot reconcile its expected Adjusted EBITDA to expected Net Loss Attributable to Pagaya under “2023 Outlook” without unreasonable effort because certain items that impact net income (loss) and other reconciling items are out of the Company's control and/or cannot be reasonably predicted at this time, which unavailable information could have a significant impact on the Company’s GAAP financial results.</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25"/>
          <w:szCs w:val="25"/>
          <w:b w:val="1"/>
          <w:bCs w:val="1"/>
          <w:color w:val="auto"/>
        </w:rPr>
        <w:t>Investors &amp; Analysts</w:t>
      </w:r>
    </w:p>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434343"/>
        </w:rPr>
        <w:t>Jency John</w:t>
      </w:r>
    </w:p>
    <w:p>
      <w:pPr>
        <w:sectPr>
          <w:pgSz w:w="11900" w:h="16838" w:orient="portrait"/>
          <w:cols w:equalWidth="0" w:num="1">
            <w:col w:w="11200"/>
          </w:cols>
          <w:pgMar w:left="320" w:top="1440" w:right="379" w:bottom="1440" w:gutter="0" w:footer="0" w:header="0"/>
        </w:sectPr>
      </w:pPr>
    </w:p>
    <w:bookmarkStart w:id="7" w:name="page8"/>
    <w:bookmarkEnd w:id="7"/>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434343"/>
        </w:rPr>
        <w:t>Head of Investor Relations</w:t>
      </w:r>
    </w:p>
    <w:p>
      <w:pPr>
        <w:spacing w:after="0" w:line="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1155CC"/>
        </w:rPr>
        <w:t>IR@pagaya.com</w:t>
      </w: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25"/>
          <w:szCs w:val="25"/>
          <w:b w:val="1"/>
          <w:bCs w:val="1"/>
          <w:color w:val="auto"/>
        </w:rPr>
        <w:t>Media &amp; Press</w:t>
      </w:r>
    </w:p>
    <w:p>
      <w:pPr>
        <w:spacing w:after="0" w:line="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434343"/>
        </w:rPr>
        <w:t>Emily Passer</w:t>
      </w:r>
    </w:p>
    <w:p>
      <w:pPr>
        <w:spacing w:after="0" w:line="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434343"/>
        </w:rPr>
        <w:t>Head of PR &amp; External Communications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1155CC"/>
        </w:rPr>
        <w:t>Press@pagaya.com</w:t>
      </w:r>
    </w:p>
    <w:p>
      <w:pPr>
        <w:sectPr>
          <w:pgSz w:w="11900" w:h="16838" w:orient="portrait"/>
          <w:cols w:equalWidth="0" w:num="1">
            <w:col w:w="10139"/>
          </w:cols>
          <w:pgMar w:left="320" w:top="1440" w:right="1440"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6"/>
          <w:szCs w:val="16"/>
          <w:b w:val="1"/>
          <w:bCs w:val="1"/>
          <w:color w:val="auto"/>
        </w:rPr>
        <w:t>PAGAYA TECHNOLOGIES LTD.</w:t>
      </w:r>
    </w:p>
    <w:p>
      <w:pPr>
        <w:spacing w:after="0" w:line="1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CONSOLIDATED STATEMENTS OF OPERATIONS (UNAUDITED)</w:t>
      </w:r>
    </w:p>
    <w:p>
      <w:pPr>
        <w:spacing w:after="0"/>
        <w:rPr>
          <w:sz w:val="20"/>
          <w:szCs w:val="20"/>
          <w:color w:val="auto"/>
        </w:rPr>
      </w:pPr>
      <w:r>
        <w:rPr>
          <w:rFonts w:ascii="Times New Roman" w:cs="Times New Roman" w:eastAsia="Times New Roman" w:hAnsi="Times New Roman"/>
          <w:sz w:val="16"/>
          <w:szCs w:val="16"/>
          <w:b w:val="1"/>
          <w:bCs w:val="1"/>
          <w:color w:val="auto"/>
        </w:rPr>
        <w:t>(In thousands, except share and per share data)</w:t>
      </w:r>
    </w:p>
    <w:p>
      <w:pPr>
        <w:spacing w:after="0" w:line="1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500" w:type="dxa"/>
            <w:vAlign w:val="bottom"/>
            <w:gridSpan w:val="5"/>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Three Months Ended December 31,</w:t>
            </w:r>
          </w:p>
        </w:tc>
        <w:tc>
          <w:tcPr>
            <w:tcW w:w="260" w:type="dxa"/>
            <w:vAlign w:val="bottom"/>
          </w:tcPr>
          <w:p>
            <w:pPr>
              <w:spacing w:after="0"/>
              <w:rPr>
                <w:sz w:val="13"/>
                <w:szCs w:val="13"/>
                <w:color w:val="auto"/>
              </w:rPr>
            </w:pPr>
          </w:p>
        </w:tc>
        <w:tc>
          <w:tcPr>
            <w:tcW w:w="1440" w:type="dxa"/>
            <w:vAlign w:val="bottom"/>
            <w:gridSpan w:val="3"/>
          </w:tcPr>
          <w:p>
            <w:pPr>
              <w:jc w:val="right"/>
              <w:ind w:right="28"/>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8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6"/>
        </w:trPr>
        <w:tc>
          <w:tcPr>
            <w:tcW w:w="6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500" w:type="dxa"/>
            <w:vAlign w:val="bottom"/>
            <w:gridSpan w:val="5"/>
            <w:vMerge w:val="continue"/>
          </w:tcPr>
          <w:p>
            <w:pPr>
              <w:spacing w:after="0"/>
              <w:rPr>
                <w:sz w:val="17"/>
                <w:szCs w:val="17"/>
                <w:color w:val="auto"/>
              </w:rPr>
            </w:pPr>
          </w:p>
        </w:tc>
        <w:tc>
          <w:tcPr>
            <w:tcW w:w="260" w:type="dxa"/>
            <w:vAlign w:val="bottom"/>
          </w:tcPr>
          <w:p>
            <w:pPr>
              <w:spacing w:after="0"/>
              <w:rPr>
                <w:sz w:val="17"/>
                <w:szCs w:val="17"/>
                <w:color w:val="auto"/>
              </w:rPr>
            </w:pPr>
          </w:p>
        </w:tc>
        <w:tc>
          <w:tcPr>
            <w:tcW w:w="144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8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100" w:type="dxa"/>
            <w:vAlign w:val="bottom"/>
            <w:tcBorders>
              <w:bottom w:val="single" w:sz="8" w:color="CCEEFF"/>
            </w:tcBorders>
          </w:tcPr>
          <w:p>
            <w:pPr>
              <w:spacing w:after="0"/>
              <w:rPr>
                <w:sz w:val="17"/>
                <w:szCs w:val="17"/>
                <w:color w:val="auto"/>
              </w:rPr>
            </w:pPr>
          </w:p>
        </w:tc>
        <w:tc>
          <w:tcPr>
            <w:tcW w:w="120" w:type="dxa"/>
            <w:vAlign w:val="bottom"/>
            <w:tcBorders>
              <w:top w:val="single" w:sz="8" w:color="auto"/>
              <w:bottom w:val="single" w:sz="8" w:color="auto"/>
            </w:tcBorders>
          </w:tcPr>
          <w:p>
            <w:pPr>
              <w:spacing w:after="0"/>
              <w:rPr>
                <w:sz w:val="17"/>
                <w:szCs w:val="17"/>
                <w:color w:val="auto"/>
              </w:rPr>
            </w:pPr>
          </w:p>
        </w:tc>
        <w:tc>
          <w:tcPr>
            <w:tcW w:w="1100" w:type="dxa"/>
            <w:vAlign w:val="bottom"/>
            <w:tcBorders>
              <w:top w:val="single" w:sz="8" w:color="auto"/>
              <w:bottom w:val="single" w:sz="8" w:color="auto"/>
            </w:tcBorders>
          </w:tcPr>
          <w:p>
            <w:pPr>
              <w:jc w:val="right"/>
              <w:ind w:right="408"/>
              <w:spacing w:after="0"/>
              <w:rPr>
                <w:sz w:val="20"/>
                <w:szCs w:val="20"/>
                <w:color w:val="auto"/>
              </w:rPr>
            </w:pPr>
            <w:r>
              <w:rPr>
                <w:rFonts w:ascii="Times New Roman" w:cs="Times New Roman" w:eastAsia="Times New Roman" w:hAnsi="Times New Roman"/>
                <w:sz w:val="14"/>
                <w:szCs w:val="14"/>
                <w:b w:val="1"/>
                <w:bCs w:val="1"/>
                <w:color w:val="auto"/>
              </w:rPr>
              <w:t>2022</w:t>
            </w:r>
          </w:p>
        </w:tc>
        <w:tc>
          <w:tcPr>
            <w:tcW w:w="80" w:type="dxa"/>
            <w:vAlign w:val="bottom"/>
            <w:tcBorders>
              <w:top w:val="single" w:sz="8" w:color="auto"/>
              <w:bottom w:val="single" w:sz="8" w:color="CCEEFF"/>
            </w:tcBorders>
          </w:tcPr>
          <w:p>
            <w:pPr>
              <w:spacing w:after="0"/>
              <w:rPr>
                <w:sz w:val="17"/>
                <w:szCs w:val="17"/>
                <w:color w:val="auto"/>
              </w:rPr>
            </w:pPr>
          </w:p>
        </w:tc>
        <w:tc>
          <w:tcPr>
            <w:tcW w:w="260" w:type="dxa"/>
            <w:vAlign w:val="bottom"/>
            <w:tcBorders>
              <w:top w:val="single" w:sz="8" w:color="auto"/>
              <w:bottom w:val="single" w:sz="8" w:color="auto"/>
            </w:tcBorders>
          </w:tcPr>
          <w:p>
            <w:pPr>
              <w:spacing w:after="0"/>
              <w:rPr>
                <w:sz w:val="17"/>
                <w:szCs w:val="17"/>
                <w:color w:val="auto"/>
              </w:rPr>
            </w:pPr>
          </w:p>
        </w:tc>
        <w:tc>
          <w:tcPr>
            <w:tcW w:w="960" w:type="dxa"/>
            <w:vAlign w:val="bottom"/>
            <w:tcBorders>
              <w:top w:val="single" w:sz="8" w:color="auto"/>
              <w:bottom w:val="single" w:sz="8" w:color="auto"/>
            </w:tcBorders>
          </w:tcPr>
          <w:p>
            <w:pPr>
              <w:jc w:val="right"/>
              <w:ind w:right="388"/>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Borders>
              <w:bottom w:val="single" w:sz="8" w:color="CCEEFF"/>
            </w:tcBorders>
          </w:tcPr>
          <w:p>
            <w:pPr>
              <w:spacing w:after="0"/>
              <w:rPr>
                <w:sz w:val="17"/>
                <w:szCs w:val="17"/>
                <w:color w:val="auto"/>
              </w:rPr>
            </w:pPr>
          </w:p>
        </w:tc>
        <w:tc>
          <w:tcPr>
            <w:tcW w:w="260" w:type="dxa"/>
            <w:vAlign w:val="bottom"/>
            <w:tcBorders>
              <w:top w:val="single" w:sz="8" w:color="auto"/>
              <w:bottom w:val="single" w:sz="8" w:color="auto"/>
            </w:tcBorders>
          </w:tcPr>
          <w:p>
            <w:pPr>
              <w:spacing w:after="0"/>
              <w:rPr>
                <w:sz w:val="17"/>
                <w:szCs w:val="17"/>
                <w:color w:val="auto"/>
              </w:rPr>
            </w:pPr>
          </w:p>
        </w:tc>
        <w:tc>
          <w:tcPr>
            <w:tcW w:w="960" w:type="dxa"/>
            <w:vAlign w:val="bottom"/>
            <w:tcBorders>
              <w:top w:val="single" w:sz="8" w:color="auto"/>
              <w:bottom w:val="single" w:sz="8" w:color="auto"/>
            </w:tcBorders>
          </w:tcPr>
          <w:p>
            <w:pPr>
              <w:jc w:val="right"/>
              <w:ind w:right="408"/>
              <w:spacing w:after="0"/>
              <w:rPr>
                <w:sz w:val="20"/>
                <w:szCs w:val="20"/>
                <w:color w:val="auto"/>
              </w:rPr>
            </w:pPr>
            <w:r>
              <w:rPr>
                <w:rFonts w:ascii="Times New Roman" w:cs="Times New Roman" w:eastAsia="Times New Roman" w:hAnsi="Times New Roman"/>
                <w:sz w:val="14"/>
                <w:szCs w:val="14"/>
                <w:b w:val="1"/>
                <w:bCs w:val="1"/>
                <w:color w:val="auto"/>
              </w:rPr>
              <w:t>2022</w:t>
            </w:r>
          </w:p>
        </w:tc>
        <w:tc>
          <w:tcPr>
            <w:tcW w:w="80" w:type="dxa"/>
            <w:vAlign w:val="bottom"/>
            <w:tcBorders>
              <w:top w:val="single" w:sz="8" w:color="auto"/>
              <w:bottom w:val="single" w:sz="8" w:color="CCEEFF"/>
            </w:tcBorders>
          </w:tcPr>
          <w:p>
            <w:pPr>
              <w:spacing w:after="0"/>
              <w:rPr>
                <w:sz w:val="17"/>
                <w:szCs w:val="17"/>
                <w:color w:val="auto"/>
              </w:rPr>
            </w:pPr>
          </w:p>
        </w:tc>
        <w:tc>
          <w:tcPr>
            <w:tcW w:w="400" w:type="dxa"/>
            <w:vAlign w:val="bottom"/>
            <w:tcBorders>
              <w:top w:val="single" w:sz="8" w:color="auto"/>
              <w:bottom w:val="single" w:sz="8" w:color="auto"/>
            </w:tcBorders>
          </w:tcPr>
          <w:p>
            <w:pPr>
              <w:spacing w:after="0"/>
              <w:rPr>
                <w:sz w:val="17"/>
                <w:szCs w:val="17"/>
                <w:color w:val="auto"/>
              </w:rPr>
            </w:pPr>
          </w:p>
        </w:tc>
        <w:tc>
          <w:tcPr>
            <w:tcW w:w="820" w:type="dxa"/>
            <w:vAlign w:val="bottom"/>
            <w:tcBorders>
              <w:top w:val="single" w:sz="8" w:color="auto"/>
              <w:bottom w:val="single" w:sz="8" w:color="auto"/>
            </w:tcBorders>
          </w:tcPr>
          <w:p>
            <w:pPr>
              <w:jc w:val="right"/>
              <w:ind w:right="388"/>
              <w:spacing w:after="0"/>
              <w:rPr>
                <w:sz w:val="20"/>
                <w:szCs w:val="20"/>
                <w:color w:val="auto"/>
              </w:rPr>
            </w:pPr>
            <w:r>
              <w:rPr>
                <w:rFonts w:ascii="Times New Roman" w:cs="Times New Roman" w:eastAsia="Times New Roman" w:hAnsi="Times New Roman"/>
                <w:sz w:val="14"/>
                <w:szCs w:val="14"/>
                <w:b w:val="1"/>
                <w:bCs w:val="1"/>
                <w:color w:val="auto"/>
              </w:rPr>
              <w:t>2021</w:t>
            </w:r>
          </w:p>
        </w:tc>
        <w:tc>
          <w:tcPr>
            <w:tcW w:w="0" w:type="dxa"/>
            <w:vAlign w:val="bottom"/>
          </w:tcPr>
          <w:p>
            <w:pPr>
              <w:spacing w:after="0"/>
              <w:rPr>
                <w:sz w:val="1"/>
                <w:szCs w:val="1"/>
                <w:color w:val="auto"/>
              </w:rPr>
            </w:pPr>
          </w:p>
        </w:tc>
      </w:tr>
      <w:tr>
        <w:trPr>
          <w:trHeight w:val="189"/>
        </w:trPr>
        <w:tc>
          <w:tcPr>
            <w:tcW w:w="6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Revenue</w:t>
            </w:r>
          </w:p>
        </w:tc>
        <w:tc>
          <w:tcPr>
            <w:tcW w:w="12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610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Revenue from fees</w:t>
            </w: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178,173</w:t>
            </w:r>
          </w:p>
        </w:tc>
        <w:tc>
          <w:tcPr>
            <w:tcW w:w="80" w:type="dxa"/>
            <w:vAlign w:val="bottom"/>
          </w:tcPr>
          <w:p>
            <w:pPr>
              <w:spacing w:after="0"/>
              <w:rPr>
                <w:sz w:val="16"/>
                <w:szCs w:val="16"/>
                <w:color w:val="auto"/>
              </w:rPr>
            </w:pPr>
          </w:p>
        </w:tc>
        <w:tc>
          <w:tcPr>
            <w:tcW w:w="26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144,262</w:t>
            </w:r>
          </w:p>
        </w:tc>
        <w:tc>
          <w:tcPr>
            <w:tcW w:w="100" w:type="dxa"/>
            <w:vAlign w:val="bottom"/>
          </w:tcPr>
          <w:p>
            <w:pPr>
              <w:spacing w:after="0"/>
              <w:rPr>
                <w:sz w:val="16"/>
                <w:szCs w:val="16"/>
                <w:color w:val="auto"/>
              </w:rPr>
            </w:pPr>
          </w:p>
        </w:tc>
        <w:tc>
          <w:tcPr>
            <w:tcW w:w="26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685,414</w:t>
            </w:r>
          </w:p>
        </w:tc>
        <w:tc>
          <w:tcPr>
            <w:tcW w:w="80" w:type="dxa"/>
            <w:vAlign w:val="bottom"/>
          </w:tcPr>
          <w:p>
            <w:pPr>
              <w:spacing w:after="0"/>
              <w:rPr>
                <w:sz w:val="16"/>
                <w:szCs w:val="16"/>
                <w:color w:val="auto"/>
              </w:rPr>
            </w:pPr>
          </w:p>
        </w:tc>
        <w:tc>
          <w:tcPr>
            <w:tcW w:w="400" w:type="dxa"/>
            <w:vAlign w:val="bottom"/>
          </w:tcPr>
          <w:p>
            <w:pPr>
              <w:jc w:val="right"/>
              <w:ind w:right="228"/>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445,866</w:t>
            </w:r>
          </w:p>
        </w:tc>
        <w:tc>
          <w:tcPr>
            <w:tcW w:w="0" w:type="dxa"/>
            <w:vAlign w:val="bottom"/>
          </w:tcPr>
          <w:p>
            <w:pPr>
              <w:spacing w:after="0"/>
              <w:rPr>
                <w:sz w:val="1"/>
                <w:szCs w:val="1"/>
                <w:color w:val="auto"/>
              </w:rPr>
            </w:pPr>
          </w:p>
        </w:tc>
      </w:tr>
      <w:tr>
        <w:trPr>
          <w:trHeight w:val="210"/>
        </w:trPr>
        <w:tc>
          <w:tcPr>
            <w:tcW w:w="6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Other Income</w:t>
            </w:r>
          </w:p>
        </w:tc>
        <w:tc>
          <w:tcPr>
            <w:tcW w:w="1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610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Interest income</w:t>
            </w:r>
          </w:p>
        </w:tc>
        <w:tc>
          <w:tcPr>
            <w:tcW w:w="120" w:type="dxa"/>
            <w:vAlign w:val="bottom"/>
          </w:tcPr>
          <w:p>
            <w:pPr>
              <w:spacing w:after="0"/>
              <w:rPr>
                <w:sz w:val="16"/>
                <w:szCs w:val="16"/>
                <w:color w:val="auto"/>
              </w:rPr>
            </w:pPr>
          </w:p>
        </w:tc>
        <w:tc>
          <w:tcPr>
            <w:tcW w:w="110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14,631</w:t>
            </w: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10,621</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57,758</w:t>
            </w:r>
          </w:p>
        </w:tc>
        <w:tc>
          <w:tcPr>
            <w:tcW w:w="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28,877</w:t>
            </w:r>
          </w:p>
        </w:tc>
        <w:tc>
          <w:tcPr>
            <w:tcW w:w="0" w:type="dxa"/>
            <w:vAlign w:val="bottom"/>
          </w:tcPr>
          <w:p>
            <w:pPr>
              <w:spacing w:after="0"/>
              <w:rPr>
                <w:sz w:val="1"/>
                <w:szCs w:val="1"/>
                <w:color w:val="auto"/>
              </w:rPr>
            </w:pPr>
          </w:p>
        </w:tc>
      </w:tr>
      <w:tr>
        <w:trPr>
          <w:trHeight w:val="210"/>
        </w:trPr>
        <w:tc>
          <w:tcPr>
            <w:tcW w:w="61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Investment income (loss)</w:t>
            </w:r>
          </w:p>
        </w:tc>
        <w:tc>
          <w:tcPr>
            <w:tcW w:w="12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86</w:t>
            </w:r>
          </w:p>
        </w:tc>
        <w:tc>
          <w:tcPr>
            <w:tcW w:w="8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(153)</w:t>
            </w:r>
          </w:p>
        </w:tc>
        <w:tc>
          <w:tcPr>
            <w:tcW w:w="10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5,756</w:t>
            </w:r>
          </w:p>
        </w:tc>
        <w:tc>
          <w:tcPr>
            <w:tcW w:w="80" w:type="dxa"/>
            <w:vAlign w:val="bottom"/>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(155)</w:t>
            </w:r>
          </w:p>
        </w:tc>
        <w:tc>
          <w:tcPr>
            <w:tcW w:w="0" w:type="dxa"/>
            <w:vAlign w:val="bottom"/>
          </w:tcPr>
          <w:p>
            <w:pPr>
              <w:spacing w:after="0"/>
              <w:rPr>
                <w:sz w:val="1"/>
                <w:szCs w:val="1"/>
                <w:color w:val="auto"/>
              </w:rPr>
            </w:pPr>
          </w:p>
        </w:tc>
      </w:tr>
      <w:tr>
        <w:trPr>
          <w:trHeight w:val="190"/>
        </w:trPr>
        <w:tc>
          <w:tcPr>
            <w:tcW w:w="61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Total Revenue and Other Income</w:t>
            </w:r>
          </w:p>
        </w:tc>
        <w:tc>
          <w:tcPr>
            <w:tcW w:w="1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192,890</w:t>
            </w:r>
          </w:p>
        </w:tc>
        <w:tc>
          <w:tcPr>
            <w:tcW w:w="8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154,730</w:t>
            </w:r>
          </w:p>
        </w:tc>
        <w:tc>
          <w:tcPr>
            <w:tcW w:w="1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748,928</w:t>
            </w:r>
          </w:p>
        </w:tc>
        <w:tc>
          <w:tcPr>
            <w:tcW w:w="80" w:type="dxa"/>
            <w:vAlign w:val="bottom"/>
            <w:tcBorders>
              <w:bottom w:val="single" w:sz="8" w:color="CCEEFF"/>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474,588</w:t>
            </w:r>
          </w:p>
        </w:tc>
        <w:tc>
          <w:tcPr>
            <w:tcW w:w="0" w:type="dxa"/>
            <w:vAlign w:val="bottom"/>
          </w:tcPr>
          <w:p>
            <w:pPr>
              <w:spacing w:after="0"/>
              <w:rPr>
                <w:sz w:val="1"/>
                <w:szCs w:val="1"/>
                <w:color w:val="auto"/>
              </w:rPr>
            </w:pPr>
          </w:p>
        </w:tc>
      </w:tr>
      <w:tr>
        <w:trPr>
          <w:trHeight w:val="189"/>
        </w:trPr>
        <w:tc>
          <w:tcPr>
            <w:tcW w:w="6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Costs and Operating Expenses</w:t>
            </w:r>
          </w:p>
        </w:tc>
        <w:tc>
          <w:tcPr>
            <w:tcW w:w="12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610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Production costs (1)</w:t>
            </w:r>
          </w:p>
        </w:tc>
        <w:tc>
          <w:tcPr>
            <w:tcW w:w="120" w:type="dxa"/>
            <w:vAlign w:val="bottom"/>
          </w:tcPr>
          <w:p>
            <w:pPr>
              <w:spacing w:after="0"/>
              <w:rPr>
                <w:sz w:val="16"/>
                <w:szCs w:val="16"/>
                <w:color w:val="auto"/>
              </w:rPr>
            </w:pPr>
          </w:p>
        </w:tc>
        <w:tc>
          <w:tcPr>
            <w:tcW w:w="110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124,709</w:t>
            </w: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78,450</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451,084</w:t>
            </w:r>
          </w:p>
        </w:tc>
        <w:tc>
          <w:tcPr>
            <w:tcW w:w="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232,324</w:t>
            </w:r>
          </w:p>
        </w:tc>
        <w:tc>
          <w:tcPr>
            <w:tcW w:w="0" w:type="dxa"/>
            <w:vAlign w:val="bottom"/>
          </w:tcPr>
          <w:p>
            <w:pPr>
              <w:spacing w:after="0"/>
              <w:rPr>
                <w:sz w:val="1"/>
                <w:szCs w:val="1"/>
                <w:color w:val="auto"/>
              </w:rPr>
            </w:pPr>
          </w:p>
        </w:tc>
      </w:tr>
      <w:tr>
        <w:trPr>
          <w:trHeight w:val="210"/>
        </w:trPr>
        <w:tc>
          <w:tcPr>
            <w:tcW w:w="61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Research and development (2)</w:t>
            </w:r>
          </w:p>
        </w:tc>
        <w:tc>
          <w:tcPr>
            <w:tcW w:w="12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23,554</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14,867</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150,933</w:t>
            </w:r>
          </w:p>
        </w:tc>
        <w:tc>
          <w:tcPr>
            <w:tcW w:w="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66,211</w:t>
            </w:r>
          </w:p>
        </w:tc>
        <w:tc>
          <w:tcPr>
            <w:tcW w:w="0" w:type="dxa"/>
            <w:vAlign w:val="bottom"/>
          </w:tcPr>
          <w:p>
            <w:pPr>
              <w:spacing w:after="0"/>
              <w:rPr>
                <w:sz w:val="1"/>
                <w:szCs w:val="1"/>
                <w:color w:val="auto"/>
              </w:rPr>
            </w:pPr>
          </w:p>
        </w:tc>
      </w:tr>
      <w:tr>
        <w:trPr>
          <w:trHeight w:val="195"/>
        </w:trPr>
        <w:tc>
          <w:tcPr>
            <w:tcW w:w="610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Sales and marketing (2)</w:t>
            </w:r>
          </w:p>
        </w:tc>
        <w:tc>
          <w:tcPr>
            <w:tcW w:w="120" w:type="dxa"/>
            <w:vAlign w:val="bottom"/>
          </w:tcPr>
          <w:p>
            <w:pPr>
              <w:spacing w:after="0"/>
              <w:rPr>
                <w:sz w:val="16"/>
                <w:szCs w:val="16"/>
                <w:color w:val="auto"/>
              </w:rPr>
            </w:pPr>
          </w:p>
        </w:tc>
        <w:tc>
          <w:tcPr>
            <w:tcW w:w="110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13,974</w:t>
            </w: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12,063</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104,203</w:t>
            </w:r>
          </w:p>
        </w:tc>
        <w:tc>
          <w:tcPr>
            <w:tcW w:w="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49,627</w:t>
            </w:r>
          </w:p>
        </w:tc>
        <w:tc>
          <w:tcPr>
            <w:tcW w:w="0" w:type="dxa"/>
            <w:vAlign w:val="bottom"/>
          </w:tcPr>
          <w:p>
            <w:pPr>
              <w:spacing w:after="0"/>
              <w:rPr>
                <w:sz w:val="1"/>
                <w:szCs w:val="1"/>
                <w:color w:val="auto"/>
              </w:rPr>
            </w:pPr>
          </w:p>
        </w:tc>
      </w:tr>
      <w:tr>
        <w:trPr>
          <w:trHeight w:val="210"/>
        </w:trPr>
        <w:tc>
          <w:tcPr>
            <w:tcW w:w="61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General and administrative (1)(2)</w:t>
            </w:r>
          </w:p>
        </w:tc>
        <w:tc>
          <w:tcPr>
            <w:tcW w:w="12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57,350</w:t>
            </w:r>
          </w:p>
        </w:tc>
        <w:tc>
          <w:tcPr>
            <w:tcW w:w="8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51,536</w:t>
            </w:r>
          </w:p>
        </w:tc>
        <w:tc>
          <w:tcPr>
            <w:tcW w:w="10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294,213</w:t>
            </w:r>
          </w:p>
        </w:tc>
        <w:tc>
          <w:tcPr>
            <w:tcW w:w="80" w:type="dxa"/>
            <w:vAlign w:val="bottom"/>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132,235</w:t>
            </w:r>
          </w:p>
        </w:tc>
        <w:tc>
          <w:tcPr>
            <w:tcW w:w="0" w:type="dxa"/>
            <w:vAlign w:val="bottom"/>
          </w:tcPr>
          <w:p>
            <w:pPr>
              <w:spacing w:after="0"/>
              <w:rPr>
                <w:sz w:val="1"/>
                <w:szCs w:val="1"/>
                <w:color w:val="auto"/>
              </w:rPr>
            </w:pPr>
          </w:p>
        </w:tc>
      </w:tr>
      <w:tr>
        <w:trPr>
          <w:trHeight w:val="190"/>
        </w:trPr>
        <w:tc>
          <w:tcPr>
            <w:tcW w:w="61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Total Costs and Operating Expenses</w:t>
            </w:r>
          </w:p>
        </w:tc>
        <w:tc>
          <w:tcPr>
            <w:tcW w:w="1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219,587</w:t>
            </w:r>
          </w:p>
        </w:tc>
        <w:tc>
          <w:tcPr>
            <w:tcW w:w="8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156,916</w:t>
            </w:r>
          </w:p>
        </w:tc>
        <w:tc>
          <w:tcPr>
            <w:tcW w:w="1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1,000,433</w:t>
            </w:r>
          </w:p>
        </w:tc>
        <w:tc>
          <w:tcPr>
            <w:tcW w:w="80" w:type="dxa"/>
            <w:vAlign w:val="bottom"/>
            <w:tcBorders>
              <w:bottom w:val="single" w:sz="8" w:color="CCEEFF"/>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480,397</w:t>
            </w:r>
          </w:p>
        </w:tc>
        <w:tc>
          <w:tcPr>
            <w:tcW w:w="0" w:type="dxa"/>
            <w:vAlign w:val="bottom"/>
          </w:tcPr>
          <w:p>
            <w:pPr>
              <w:spacing w:after="0"/>
              <w:rPr>
                <w:sz w:val="1"/>
                <w:szCs w:val="1"/>
                <w:color w:val="auto"/>
              </w:rPr>
            </w:pPr>
          </w:p>
        </w:tc>
      </w:tr>
      <w:tr>
        <w:trPr>
          <w:trHeight w:val="203"/>
        </w:trPr>
        <w:tc>
          <w:tcPr>
            <w:tcW w:w="6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Operating Loss</w:t>
            </w:r>
          </w:p>
        </w:tc>
        <w:tc>
          <w:tcPr>
            <w:tcW w:w="120" w:type="dxa"/>
            <w:vAlign w:val="bottom"/>
            <w:tcBorders>
              <w:bottom w:val="single" w:sz="8" w:color="auto"/>
            </w:tcBorders>
            <w:shd w:val="clear" w:color="auto" w:fill="CCEEFF"/>
          </w:tcPr>
          <w:p>
            <w:pPr>
              <w:spacing w:after="0"/>
              <w:rPr>
                <w:sz w:val="17"/>
                <w:szCs w:val="17"/>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(26,697)</w:t>
            </w:r>
          </w:p>
        </w:tc>
        <w:tc>
          <w:tcPr>
            <w:tcW w:w="80" w:type="dxa"/>
            <w:vAlign w:val="bottom"/>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spacing w:after="0"/>
              <w:rPr>
                <w:sz w:val="17"/>
                <w:szCs w:val="17"/>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(2,186)</w:t>
            </w:r>
          </w:p>
        </w:tc>
        <w:tc>
          <w:tcPr>
            <w:tcW w:w="100" w:type="dxa"/>
            <w:vAlign w:val="bottom"/>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spacing w:after="0"/>
              <w:rPr>
                <w:sz w:val="17"/>
                <w:szCs w:val="17"/>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(251,505)</w:t>
            </w:r>
          </w:p>
        </w:tc>
        <w:tc>
          <w:tcPr>
            <w:tcW w:w="80" w:type="dxa"/>
            <w:vAlign w:val="bottom"/>
            <w:shd w:val="clear" w:color="auto" w:fill="CCEEFF"/>
          </w:tcPr>
          <w:p>
            <w:pPr>
              <w:spacing w:after="0"/>
              <w:rPr>
                <w:sz w:val="17"/>
                <w:szCs w:val="17"/>
                <w:color w:val="auto"/>
              </w:rPr>
            </w:pPr>
          </w:p>
        </w:tc>
        <w:tc>
          <w:tcPr>
            <w:tcW w:w="400" w:type="dxa"/>
            <w:vAlign w:val="bottom"/>
            <w:tcBorders>
              <w:bottom w:val="single" w:sz="8" w:color="auto"/>
            </w:tcBorders>
            <w:shd w:val="clear" w:color="auto" w:fill="CCEEFF"/>
          </w:tcPr>
          <w:p>
            <w:pPr>
              <w:spacing w:after="0"/>
              <w:rPr>
                <w:sz w:val="17"/>
                <w:szCs w:val="17"/>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(5,809)</w:t>
            </w:r>
          </w:p>
        </w:tc>
        <w:tc>
          <w:tcPr>
            <w:tcW w:w="0" w:type="dxa"/>
            <w:vAlign w:val="bottom"/>
          </w:tcPr>
          <w:p>
            <w:pPr>
              <w:spacing w:after="0"/>
              <w:rPr>
                <w:sz w:val="1"/>
                <w:szCs w:val="1"/>
                <w:color w:val="auto"/>
              </w:rPr>
            </w:pPr>
          </w:p>
        </w:tc>
      </w:tr>
      <w:tr>
        <w:trPr>
          <w:trHeight w:val="189"/>
        </w:trPr>
        <w:tc>
          <w:tcPr>
            <w:tcW w:w="61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Other loss, net</w:t>
            </w:r>
          </w:p>
        </w:tc>
        <w:tc>
          <w:tcPr>
            <w:tcW w:w="1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(34,715)</w:t>
            </w:r>
          </w:p>
        </w:tc>
        <w:tc>
          <w:tcPr>
            <w:tcW w:w="8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(4,300)</w:t>
            </w:r>
          </w:p>
        </w:tc>
        <w:tc>
          <w:tcPr>
            <w:tcW w:w="1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(24,869)</w:t>
            </w:r>
          </w:p>
        </w:tc>
        <w:tc>
          <w:tcPr>
            <w:tcW w:w="80" w:type="dxa"/>
            <w:vAlign w:val="bottom"/>
            <w:tcBorders>
              <w:bottom w:val="single" w:sz="8" w:color="CCEEFF"/>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(55,839)</w:t>
            </w:r>
          </w:p>
        </w:tc>
        <w:tc>
          <w:tcPr>
            <w:tcW w:w="0" w:type="dxa"/>
            <w:vAlign w:val="bottom"/>
          </w:tcPr>
          <w:p>
            <w:pPr>
              <w:spacing w:after="0"/>
              <w:rPr>
                <w:sz w:val="1"/>
                <w:szCs w:val="1"/>
                <w:color w:val="auto"/>
              </w:rPr>
            </w:pPr>
          </w:p>
        </w:tc>
      </w:tr>
      <w:tr>
        <w:trPr>
          <w:trHeight w:val="203"/>
        </w:trPr>
        <w:tc>
          <w:tcPr>
            <w:tcW w:w="6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Loss Before Income Taxes</w:t>
            </w:r>
          </w:p>
        </w:tc>
        <w:tc>
          <w:tcPr>
            <w:tcW w:w="120" w:type="dxa"/>
            <w:vAlign w:val="bottom"/>
            <w:tcBorders>
              <w:bottom w:val="single" w:sz="8" w:color="auto"/>
            </w:tcBorders>
            <w:shd w:val="clear" w:color="auto" w:fill="CCEEFF"/>
          </w:tcPr>
          <w:p>
            <w:pPr>
              <w:spacing w:after="0"/>
              <w:rPr>
                <w:sz w:val="17"/>
                <w:szCs w:val="17"/>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(61,412)</w:t>
            </w:r>
          </w:p>
        </w:tc>
        <w:tc>
          <w:tcPr>
            <w:tcW w:w="80" w:type="dxa"/>
            <w:vAlign w:val="bottom"/>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spacing w:after="0"/>
              <w:rPr>
                <w:sz w:val="17"/>
                <w:szCs w:val="17"/>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(6,486)</w:t>
            </w:r>
          </w:p>
        </w:tc>
        <w:tc>
          <w:tcPr>
            <w:tcW w:w="100" w:type="dxa"/>
            <w:vAlign w:val="bottom"/>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spacing w:after="0"/>
              <w:rPr>
                <w:sz w:val="17"/>
                <w:szCs w:val="17"/>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(276,374)</w:t>
            </w:r>
          </w:p>
        </w:tc>
        <w:tc>
          <w:tcPr>
            <w:tcW w:w="80" w:type="dxa"/>
            <w:vAlign w:val="bottom"/>
            <w:shd w:val="clear" w:color="auto" w:fill="CCEEFF"/>
          </w:tcPr>
          <w:p>
            <w:pPr>
              <w:spacing w:after="0"/>
              <w:rPr>
                <w:sz w:val="17"/>
                <w:szCs w:val="17"/>
                <w:color w:val="auto"/>
              </w:rPr>
            </w:pPr>
          </w:p>
        </w:tc>
        <w:tc>
          <w:tcPr>
            <w:tcW w:w="400" w:type="dxa"/>
            <w:vAlign w:val="bottom"/>
            <w:tcBorders>
              <w:bottom w:val="single" w:sz="8" w:color="auto"/>
            </w:tcBorders>
            <w:shd w:val="clear" w:color="auto" w:fill="CCEEFF"/>
          </w:tcPr>
          <w:p>
            <w:pPr>
              <w:spacing w:after="0"/>
              <w:rPr>
                <w:sz w:val="17"/>
                <w:szCs w:val="17"/>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(61,648)</w:t>
            </w:r>
          </w:p>
        </w:tc>
        <w:tc>
          <w:tcPr>
            <w:tcW w:w="0" w:type="dxa"/>
            <w:vAlign w:val="bottom"/>
          </w:tcPr>
          <w:p>
            <w:pPr>
              <w:spacing w:after="0"/>
              <w:rPr>
                <w:sz w:val="1"/>
                <w:szCs w:val="1"/>
                <w:color w:val="auto"/>
              </w:rPr>
            </w:pPr>
          </w:p>
        </w:tc>
      </w:tr>
      <w:tr>
        <w:trPr>
          <w:trHeight w:val="189"/>
        </w:trPr>
        <w:tc>
          <w:tcPr>
            <w:tcW w:w="61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Income tax expense (benefit)</w:t>
            </w:r>
          </w:p>
        </w:tc>
        <w:tc>
          <w:tcPr>
            <w:tcW w:w="1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(9,204)</w:t>
            </w:r>
          </w:p>
        </w:tc>
        <w:tc>
          <w:tcPr>
            <w:tcW w:w="8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(3,542)</w:t>
            </w:r>
          </w:p>
        </w:tc>
        <w:tc>
          <w:tcPr>
            <w:tcW w:w="1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16,400</w:t>
            </w:r>
          </w:p>
        </w:tc>
        <w:tc>
          <w:tcPr>
            <w:tcW w:w="80" w:type="dxa"/>
            <w:vAlign w:val="bottom"/>
            <w:tcBorders>
              <w:bottom w:val="single" w:sz="8" w:color="CCEEFF"/>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7,875</w:t>
            </w:r>
          </w:p>
        </w:tc>
        <w:tc>
          <w:tcPr>
            <w:tcW w:w="0" w:type="dxa"/>
            <w:vAlign w:val="bottom"/>
          </w:tcPr>
          <w:p>
            <w:pPr>
              <w:spacing w:after="0"/>
              <w:rPr>
                <w:sz w:val="1"/>
                <w:szCs w:val="1"/>
                <w:color w:val="auto"/>
              </w:rPr>
            </w:pPr>
          </w:p>
        </w:tc>
      </w:tr>
      <w:tr>
        <w:trPr>
          <w:trHeight w:val="203"/>
        </w:trPr>
        <w:tc>
          <w:tcPr>
            <w:tcW w:w="6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Loss Including Noncontrolling Interests</w:t>
            </w:r>
          </w:p>
        </w:tc>
        <w:tc>
          <w:tcPr>
            <w:tcW w:w="120" w:type="dxa"/>
            <w:vAlign w:val="bottom"/>
            <w:tcBorders>
              <w:bottom w:val="single" w:sz="8" w:color="auto"/>
            </w:tcBorders>
            <w:shd w:val="clear" w:color="auto" w:fill="CCEEFF"/>
          </w:tcPr>
          <w:p>
            <w:pPr>
              <w:spacing w:after="0"/>
              <w:rPr>
                <w:sz w:val="17"/>
                <w:szCs w:val="17"/>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(52,208)</w:t>
            </w:r>
          </w:p>
        </w:tc>
        <w:tc>
          <w:tcPr>
            <w:tcW w:w="80" w:type="dxa"/>
            <w:vAlign w:val="bottom"/>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spacing w:after="0"/>
              <w:rPr>
                <w:sz w:val="17"/>
                <w:szCs w:val="17"/>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(2,944)</w:t>
            </w:r>
          </w:p>
        </w:tc>
        <w:tc>
          <w:tcPr>
            <w:tcW w:w="100" w:type="dxa"/>
            <w:vAlign w:val="bottom"/>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spacing w:after="0"/>
              <w:rPr>
                <w:sz w:val="17"/>
                <w:szCs w:val="17"/>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(292,774)</w:t>
            </w:r>
          </w:p>
        </w:tc>
        <w:tc>
          <w:tcPr>
            <w:tcW w:w="80" w:type="dxa"/>
            <w:vAlign w:val="bottom"/>
            <w:shd w:val="clear" w:color="auto" w:fill="CCEEFF"/>
          </w:tcPr>
          <w:p>
            <w:pPr>
              <w:spacing w:after="0"/>
              <w:rPr>
                <w:sz w:val="17"/>
                <w:szCs w:val="17"/>
                <w:color w:val="auto"/>
              </w:rPr>
            </w:pPr>
          </w:p>
        </w:tc>
        <w:tc>
          <w:tcPr>
            <w:tcW w:w="400" w:type="dxa"/>
            <w:vAlign w:val="bottom"/>
            <w:tcBorders>
              <w:bottom w:val="single" w:sz="8" w:color="auto"/>
            </w:tcBorders>
            <w:shd w:val="clear" w:color="auto" w:fill="CCEEFF"/>
          </w:tcPr>
          <w:p>
            <w:pPr>
              <w:spacing w:after="0"/>
              <w:rPr>
                <w:sz w:val="17"/>
                <w:szCs w:val="17"/>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(69,523)</w:t>
            </w:r>
          </w:p>
        </w:tc>
        <w:tc>
          <w:tcPr>
            <w:tcW w:w="0" w:type="dxa"/>
            <w:vAlign w:val="bottom"/>
          </w:tcPr>
          <w:p>
            <w:pPr>
              <w:spacing w:after="0"/>
              <w:rPr>
                <w:sz w:val="1"/>
                <w:szCs w:val="1"/>
                <w:color w:val="auto"/>
              </w:rPr>
            </w:pPr>
          </w:p>
        </w:tc>
      </w:tr>
      <w:tr>
        <w:trPr>
          <w:trHeight w:val="190"/>
        </w:trPr>
        <w:tc>
          <w:tcPr>
            <w:tcW w:w="61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Less: Net income (loss) attributable to noncontrolling interests</w:t>
            </w:r>
          </w:p>
        </w:tc>
        <w:tc>
          <w:tcPr>
            <w:tcW w:w="1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(18,210)</w:t>
            </w:r>
          </w:p>
        </w:tc>
        <w:tc>
          <w:tcPr>
            <w:tcW w:w="8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7,512</w:t>
            </w:r>
          </w:p>
        </w:tc>
        <w:tc>
          <w:tcPr>
            <w:tcW w:w="1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9,547</w:t>
            </w:r>
          </w:p>
        </w:tc>
        <w:tc>
          <w:tcPr>
            <w:tcW w:w="80" w:type="dxa"/>
            <w:vAlign w:val="bottom"/>
            <w:tcBorders>
              <w:bottom w:val="single" w:sz="8" w:color="CCEEFF"/>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21,628</w:t>
            </w:r>
          </w:p>
        </w:tc>
        <w:tc>
          <w:tcPr>
            <w:tcW w:w="0" w:type="dxa"/>
            <w:vAlign w:val="bottom"/>
          </w:tcPr>
          <w:p>
            <w:pPr>
              <w:spacing w:after="0"/>
              <w:rPr>
                <w:sz w:val="1"/>
                <w:szCs w:val="1"/>
                <w:color w:val="auto"/>
              </w:rPr>
            </w:pPr>
          </w:p>
        </w:tc>
      </w:tr>
      <w:tr>
        <w:trPr>
          <w:trHeight w:val="200"/>
        </w:trPr>
        <w:tc>
          <w:tcPr>
            <w:tcW w:w="61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Loss Attributable to Pagaya Technologies Ltd.</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(33,998)</w:t>
            </w:r>
          </w:p>
        </w:tc>
        <w:tc>
          <w:tcPr>
            <w:tcW w:w="8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(10,456)</w:t>
            </w:r>
          </w:p>
        </w:tc>
        <w:tc>
          <w:tcPr>
            <w:tcW w:w="10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(302,321)</w:t>
            </w:r>
          </w:p>
        </w:tc>
        <w:tc>
          <w:tcPr>
            <w:tcW w:w="80" w:type="dxa"/>
            <w:vAlign w:val="bottom"/>
            <w:tcBorders>
              <w:bottom w:val="single" w:sz="8" w:color="CCEEFF"/>
            </w:tcBorders>
            <w:shd w:val="clear" w:color="auto" w:fill="CCEEFF"/>
          </w:tcPr>
          <w:p>
            <w:pPr>
              <w:spacing w:after="0"/>
              <w:rPr>
                <w:sz w:val="17"/>
                <w:szCs w:val="17"/>
                <w:color w:val="auto"/>
              </w:rPr>
            </w:pPr>
          </w:p>
        </w:tc>
        <w:tc>
          <w:tcPr>
            <w:tcW w:w="400" w:type="dxa"/>
            <w:vAlign w:val="bottom"/>
            <w:tcBorders>
              <w:bottom w:val="single" w:sz="8" w:color="auto"/>
            </w:tcBorders>
            <w:shd w:val="clear" w:color="auto" w:fill="CCEEFF"/>
          </w:tcPr>
          <w:p>
            <w:pPr>
              <w:jc w:val="right"/>
              <w:ind w:right="228"/>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(91,151)</w:t>
            </w:r>
          </w:p>
        </w:tc>
        <w:tc>
          <w:tcPr>
            <w:tcW w:w="0" w:type="dxa"/>
            <w:vAlign w:val="bottom"/>
          </w:tcPr>
          <w:p>
            <w:pPr>
              <w:spacing w:after="0"/>
              <w:rPr>
                <w:sz w:val="1"/>
                <w:szCs w:val="1"/>
                <w:color w:val="auto"/>
              </w:rPr>
            </w:pPr>
          </w:p>
        </w:tc>
      </w:tr>
      <w:tr>
        <w:trPr>
          <w:trHeight w:val="20"/>
        </w:trPr>
        <w:tc>
          <w:tcPr>
            <w:tcW w:w="610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Per share data:</w:t>
            </w: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610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6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loss attributable to Pagaya Technologies Ltd.</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(33,998)</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(10,456)</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(302,321)</w:t>
            </w:r>
          </w:p>
        </w:tc>
        <w:tc>
          <w:tcPr>
            <w:tcW w:w="80" w:type="dxa"/>
            <w:vAlign w:val="bottom"/>
            <w:shd w:val="clear" w:color="auto" w:fill="CCEEFF"/>
          </w:tcPr>
          <w:p>
            <w:pPr>
              <w:spacing w:after="0"/>
              <w:rPr>
                <w:sz w:val="18"/>
                <w:szCs w:val="18"/>
                <w:color w:val="auto"/>
              </w:rPr>
            </w:pPr>
          </w:p>
        </w:tc>
        <w:tc>
          <w:tcPr>
            <w:tcW w:w="400" w:type="dxa"/>
            <w:vAlign w:val="bottom"/>
            <w:shd w:val="clear" w:color="auto" w:fill="CCEEFF"/>
          </w:tcPr>
          <w:p>
            <w:pPr>
              <w:jc w:val="right"/>
              <w:ind w:right="228"/>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(91,151)</w:t>
            </w:r>
          </w:p>
        </w:tc>
        <w:tc>
          <w:tcPr>
            <w:tcW w:w="0" w:type="dxa"/>
            <w:vAlign w:val="bottom"/>
          </w:tcPr>
          <w:p>
            <w:pPr>
              <w:spacing w:after="0"/>
              <w:rPr>
                <w:sz w:val="1"/>
                <w:szCs w:val="1"/>
                <w:color w:val="auto"/>
              </w:rPr>
            </w:pPr>
          </w:p>
        </w:tc>
      </w:tr>
      <w:tr>
        <w:trPr>
          <w:trHeight w:val="195"/>
        </w:trPr>
        <w:tc>
          <w:tcPr>
            <w:tcW w:w="61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Less: Undistributed earnings allocated to participated securities</w:t>
            </w:r>
          </w:p>
        </w:tc>
        <w:tc>
          <w:tcPr>
            <w:tcW w:w="120" w:type="dxa"/>
            <w:vAlign w:val="bottom"/>
          </w:tcPr>
          <w:p>
            <w:pPr>
              <w:spacing w:after="0"/>
              <w:rPr>
                <w:sz w:val="16"/>
                <w:szCs w:val="16"/>
                <w:color w:val="auto"/>
              </w:rPr>
            </w:pP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(6,064)</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(12,205)</w:t>
            </w:r>
          </w:p>
        </w:tc>
        <w:tc>
          <w:tcPr>
            <w:tcW w:w="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(19,558)</w:t>
            </w:r>
          </w:p>
        </w:tc>
        <w:tc>
          <w:tcPr>
            <w:tcW w:w="0" w:type="dxa"/>
            <w:vAlign w:val="bottom"/>
          </w:tcPr>
          <w:p>
            <w:pPr>
              <w:spacing w:after="0"/>
              <w:rPr>
                <w:sz w:val="1"/>
                <w:szCs w:val="1"/>
                <w:color w:val="auto"/>
              </w:rPr>
            </w:pPr>
          </w:p>
        </w:tc>
      </w:tr>
      <w:tr>
        <w:trPr>
          <w:trHeight w:val="203"/>
        </w:trPr>
        <w:tc>
          <w:tcPr>
            <w:tcW w:w="6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Less: Deemed dividend distribution</w:t>
            </w:r>
          </w:p>
        </w:tc>
        <w:tc>
          <w:tcPr>
            <w:tcW w:w="12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40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(23,612)</w:t>
            </w:r>
          </w:p>
        </w:tc>
        <w:tc>
          <w:tcPr>
            <w:tcW w:w="0" w:type="dxa"/>
            <w:vAlign w:val="bottom"/>
          </w:tcPr>
          <w:p>
            <w:pPr>
              <w:spacing w:after="0"/>
              <w:rPr>
                <w:sz w:val="1"/>
                <w:szCs w:val="1"/>
                <w:color w:val="auto"/>
              </w:rPr>
            </w:pPr>
          </w:p>
        </w:tc>
      </w:tr>
      <w:tr>
        <w:trPr>
          <w:trHeight w:val="203"/>
        </w:trPr>
        <w:tc>
          <w:tcPr>
            <w:tcW w:w="61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loss attributed to Pagaya Technologies Ltd.</w:t>
            </w: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(33,998)</w:t>
            </w:r>
          </w:p>
        </w:tc>
        <w:tc>
          <w:tcPr>
            <w:tcW w:w="80" w:type="dxa"/>
            <w:vAlign w:val="bottom"/>
          </w:tcPr>
          <w:p>
            <w:pPr>
              <w:spacing w:after="0"/>
              <w:rPr>
                <w:sz w:val="17"/>
                <w:szCs w:val="17"/>
                <w:color w:val="auto"/>
              </w:rPr>
            </w:pPr>
          </w:p>
        </w:tc>
        <w:tc>
          <w:tcPr>
            <w:tcW w:w="260" w:type="dxa"/>
            <w:vAlign w:val="bottom"/>
            <w:tcBorders>
              <w:top w:val="single" w:sz="8" w:color="auto"/>
              <w:bottom w:val="single" w:sz="8" w:color="auto"/>
            </w:tcBorders>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(16,520)</w:t>
            </w:r>
          </w:p>
        </w:tc>
        <w:tc>
          <w:tcPr>
            <w:tcW w:w="100" w:type="dxa"/>
            <w:vAlign w:val="bottom"/>
          </w:tcPr>
          <w:p>
            <w:pPr>
              <w:spacing w:after="0"/>
              <w:rPr>
                <w:sz w:val="17"/>
                <w:szCs w:val="17"/>
                <w:color w:val="auto"/>
              </w:rPr>
            </w:pPr>
          </w:p>
        </w:tc>
        <w:tc>
          <w:tcPr>
            <w:tcW w:w="260" w:type="dxa"/>
            <w:vAlign w:val="bottom"/>
            <w:tcBorders>
              <w:top w:val="single" w:sz="8" w:color="auto"/>
              <w:bottom w:val="single" w:sz="8" w:color="auto"/>
            </w:tcBorders>
          </w:tcPr>
          <w:p>
            <w:pPr>
              <w:jc w:val="right"/>
              <w:ind w:right="108"/>
              <w:spacing w:after="0"/>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(314,526)</w:t>
            </w:r>
          </w:p>
        </w:tc>
        <w:tc>
          <w:tcPr>
            <w:tcW w:w="80" w:type="dxa"/>
            <w:vAlign w:val="bottom"/>
          </w:tcPr>
          <w:p>
            <w:pPr>
              <w:spacing w:after="0"/>
              <w:rPr>
                <w:sz w:val="17"/>
                <w:szCs w:val="17"/>
                <w:color w:val="auto"/>
              </w:rPr>
            </w:pPr>
          </w:p>
        </w:tc>
        <w:tc>
          <w:tcPr>
            <w:tcW w:w="400" w:type="dxa"/>
            <w:vAlign w:val="bottom"/>
            <w:tcBorders>
              <w:top w:val="single" w:sz="8" w:color="auto"/>
              <w:bottom w:val="single" w:sz="8" w:color="auto"/>
            </w:tcBorders>
          </w:tcPr>
          <w:p>
            <w:pPr>
              <w:jc w:val="right"/>
              <w:ind w:right="228"/>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(134,321)</w:t>
            </w:r>
          </w:p>
        </w:tc>
        <w:tc>
          <w:tcPr>
            <w:tcW w:w="0" w:type="dxa"/>
            <w:vAlign w:val="bottom"/>
          </w:tcPr>
          <w:p>
            <w:pPr>
              <w:spacing w:after="0"/>
              <w:rPr>
                <w:sz w:val="1"/>
                <w:szCs w:val="1"/>
                <w:color w:val="auto"/>
              </w:rPr>
            </w:pPr>
          </w:p>
        </w:tc>
      </w:tr>
      <w:tr>
        <w:trPr>
          <w:trHeight w:val="20"/>
        </w:trPr>
        <w:tc>
          <w:tcPr>
            <w:tcW w:w="6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6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Net loss per share attributable to Pagaya Technologies Ltd.:</w:t>
            </w:r>
          </w:p>
        </w:tc>
        <w:tc>
          <w:tcPr>
            <w:tcW w:w="12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610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Basic and Diluted (3)</w:t>
            </w: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(0.05)</w:t>
            </w:r>
          </w:p>
        </w:tc>
        <w:tc>
          <w:tcPr>
            <w:tcW w:w="80" w:type="dxa"/>
            <w:vAlign w:val="bottom"/>
          </w:tcPr>
          <w:p>
            <w:pPr>
              <w:spacing w:after="0"/>
              <w:rPr>
                <w:sz w:val="15"/>
                <w:szCs w:val="15"/>
                <w:color w:val="auto"/>
              </w:rPr>
            </w:pPr>
          </w:p>
        </w:tc>
        <w:tc>
          <w:tcPr>
            <w:tcW w:w="260" w:type="dxa"/>
            <w:vAlign w:val="bottom"/>
            <w:tcBorders>
              <w:bottom w:val="single" w:sz="8" w:color="auto"/>
            </w:tcBorders>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(0.08)</w:t>
            </w:r>
          </w:p>
        </w:tc>
        <w:tc>
          <w:tcPr>
            <w:tcW w:w="100" w:type="dxa"/>
            <w:vAlign w:val="bottom"/>
          </w:tcPr>
          <w:p>
            <w:pPr>
              <w:spacing w:after="0"/>
              <w:rPr>
                <w:sz w:val="15"/>
                <w:szCs w:val="15"/>
                <w:color w:val="auto"/>
              </w:rPr>
            </w:pPr>
          </w:p>
        </w:tc>
        <w:tc>
          <w:tcPr>
            <w:tcW w:w="260" w:type="dxa"/>
            <w:vAlign w:val="bottom"/>
            <w:tcBorders>
              <w:bottom w:val="single" w:sz="8" w:color="auto"/>
            </w:tcBorders>
          </w:tcPr>
          <w:p>
            <w:pPr>
              <w:jc w:val="right"/>
              <w:ind w:right="108"/>
              <w:spacing w:after="0"/>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(0.69)</w:t>
            </w:r>
          </w:p>
        </w:tc>
        <w:tc>
          <w:tcPr>
            <w:tcW w:w="80" w:type="dxa"/>
            <w:vAlign w:val="bottom"/>
          </w:tcPr>
          <w:p>
            <w:pPr>
              <w:spacing w:after="0"/>
              <w:rPr>
                <w:sz w:val="15"/>
                <w:szCs w:val="15"/>
                <w:color w:val="auto"/>
              </w:rPr>
            </w:pPr>
          </w:p>
        </w:tc>
        <w:tc>
          <w:tcPr>
            <w:tcW w:w="400" w:type="dxa"/>
            <w:vAlign w:val="bottom"/>
            <w:tcBorders>
              <w:bottom w:val="single" w:sz="8" w:color="auto"/>
            </w:tcBorders>
          </w:tcPr>
          <w:p>
            <w:pPr>
              <w:jc w:val="right"/>
              <w:ind w:right="228"/>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(0.69)</w:t>
            </w:r>
          </w:p>
        </w:tc>
        <w:tc>
          <w:tcPr>
            <w:tcW w:w="0" w:type="dxa"/>
            <w:vAlign w:val="bottom"/>
          </w:tcPr>
          <w:p>
            <w:pPr>
              <w:spacing w:after="0"/>
              <w:rPr>
                <w:sz w:val="1"/>
                <w:szCs w:val="1"/>
                <w:color w:val="auto"/>
              </w:rPr>
            </w:pPr>
          </w:p>
        </w:tc>
      </w:tr>
      <w:tr>
        <w:trPr>
          <w:trHeight w:val="20"/>
        </w:trPr>
        <w:tc>
          <w:tcPr>
            <w:tcW w:w="6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61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Non-GAAP adjusted net income (loss) (4)</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(3,683)</w:t>
            </w:r>
          </w:p>
        </w:tc>
        <w:tc>
          <w:tcPr>
            <w:tcW w:w="8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380</w:t>
            </w:r>
          </w:p>
        </w:tc>
        <w:tc>
          <w:tcPr>
            <w:tcW w:w="10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(32,664)</w:t>
            </w:r>
          </w:p>
        </w:tc>
        <w:tc>
          <w:tcPr>
            <w:tcW w:w="80" w:type="dxa"/>
            <w:vAlign w:val="bottom"/>
            <w:tcBorders>
              <w:bottom w:val="single" w:sz="8" w:color="CCEEFF"/>
            </w:tcBorders>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jc w:val="right"/>
              <w:ind w:right="228"/>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37,259</w:t>
            </w:r>
          </w:p>
        </w:tc>
        <w:tc>
          <w:tcPr>
            <w:tcW w:w="0" w:type="dxa"/>
            <w:vAlign w:val="bottom"/>
          </w:tcPr>
          <w:p>
            <w:pPr>
              <w:spacing w:after="0"/>
              <w:rPr>
                <w:sz w:val="1"/>
                <w:szCs w:val="1"/>
                <w:color w:val="auto"/>
              </w:rPr>
            </w:pPr>
          </w:p>
        </w:tc>
      </w:tr>
      <w:tr>
        <w:trPr>
          <w:trHeight w:val="20"/>
        </w:trPr>
        <w:tc>
          <w:tcPr>
            <w:tcW w:w="610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Non-GAAP adjusted net income (loss) per share:</w:t>
            </w: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610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34"/>
        </w:trPr>
        <w:tc>
          <w:tcPr>
            <w:tcW w:w="610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Basic (3)</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(0.01)</w:t>
            </w:r>
          </w:p>
        </w:tc>
        <w:tc>
          <w:tcPr>
            <w:tcW w:w="8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0.00</w:t>
            </w:r>
          </w:p>
        </w:tc>
        <w:tc>
          <w:tcPr>
            <w:tcW w:w="10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(0.07)</w:t>
            </w:r>
          </w:p>
        </w:tc>
        <w:tc>
          <w:tcPr>
            <w:tcW w:w="80" w:type="dxa"/>
            <w:vAlign w:val="bottom"/>
            <w:tcBorders>
              <w:bottom w:val="single" w:sz="8" w:color="CCEEFF"/>
            </w:tcBorders>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jc w:val="right"/>
              <w:ind w:right="228"/>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0.19</w:t>
            </w:r>
          </w:p>
        </w:tc>
        <w:tc>
          <w:tcPr>
            <w:tcW w:w="0" w:type="dxa"/>
            <w:vAlign w:val="bottom"/>
          </w:tcPr>
          <w:p>
            <w:pPr>
              <w:spacing w:after="0"/>
              <w:rPr>
                <w:sz w:val="1"/>
                <w:szCs w:val="1"/>
                <w:color w:val="auto"/>
              </w:rPr>
            </w:pPr>
          </w:p>
        </w:tc>
      </w:tr>
      <w:tr>
        <w:trPr>
          <w:trHeight w:val="20"/>
        </w:trPr>
        <w:tc>
          <w:tcPr>
            <w:tcW w:w="6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610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Diluted (3)</w:t>
            </w: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(0.01)</w:t>
            </w:r>
          </w:p>
        </w:tc>
        <w:tc>
          <w:tcPr>
            <w:tcW w:w="80" w:type="dxa"/>
            <w:vAlign w:val="bottom"/>
          </w:tcPr>
          <w:p>
            <w:pPr>
              <w:spacing w:after="0"/>
              <w:rPr>
                <w:sz w:val="15"/>
                <w:szCs w:val="15"/>
                <w:color w:val="auto"/>
              </w:rPr>
            </w:pPr>
          </w:p>
        </w:tc>
        <w:tc>
          <w:tcPr>
            <w:tcW w:w="260" w:type="dxa"/>
            <w:vAlign w:val="bottom"/>
            <w:tcBorders>
              <w:bottom w:val="single" w:sz="8" w:color="auto"/>
            </w:tcBorders>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0.00</w:t>
            </w:r>
          </w:p>
        </w:tc>
        <w:tc>
          <w:tcPr>
            <w:tcW w:w="100" w:type="dxa"/>
            <w:vAlign w:val="bottom"/>
          </w:tcPr>
          <w:p>
            <w:pPr>
              <w:spacing w:after="0"/>
              <w:rPr>
                <w:sz w:val="15"/>
                <w:szCs w:val="15"/>
                <w:color w:val="auto"/>
              </w:rPr>
            </w:pPr>
          </w:p>
        </w:tc>
        <w:tc>
          <w:tcPr>
            <w:tcW w:w="260" w:type="dxa"/>
            <w:vAlign w:val="bottom"/>
            <w:tcBorders>
              <w:bottom w:val="single" w:sz="8" w:color="auto"/>
            </w:tcBorders>
          </w:tcPr>
          <w:p>
            <w:pPr>
              <w:jc w:val="right"/>
              <w:ind w:right="108"/>
              <w:spacing w:after="0"/>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(0.07)</w:t>
            </w:r>
          </w:p>
        </w:tc>
        <w:tc>
          <w:tcPr>
            <w:tcW w:w="80" w:type="dxa"/>
            <w:vAlign w:val="bottom"/>
          </w:tcPr>
          <w:p>
            <w:pPr>
              <w:spacing w:after="0"/>
              <w:rPr>
                <w:sz w:val="15"/>
                <w:szCs w:val="15"/>
                <w:color w:val="auto"/>
              </w:rPr>
            </w:pPr>
          </w:p>
        </w:tc>
        <w:tc>
          <w:tcPr>
            <w:tcW w:w="400" w:type="dxa"/>
            <w:vAlign w:val="bottom"/>
            <w:tcBorders>
              <w:bottom w:val="single" w:sz="8" w:color="auto"/>
            </w:tcBorders>
          </w:tcPr>
          <w:p>
            <w:pPr>
              <w:jc w:val="right"/>
              <w:ind w:right="228"/>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0.14</w:t>
            </w:r>
          </w:p>
        </w:tc>
        <w:tc>
          <w:tcPr>
            <w:tcW w:w="0" w:type="dxa"/>
            <w:vAlign w:val="bottom"/>
          </w:tcPr>
          <w:p>
            <w:pPr>
              <w:spacing w:after="0"/>
              <w:rPr>
                <w:sz w:val="1"/>
                <w:szCs w:val="1"/>
                <w:color w:val="auto"/>
              </w:rPr>
            </w:pPr>
          </w:p>
        </w:tc>
      </w:tr>
      <w:tr>
        <w:trPr>
          <w:trHeight w:val="20"/>
        </w:trPr>
        <w:tc>
          <w:tcPr>
            <w:tcW w:w="6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6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Weighted average shares outstanding (Class A and Class B):</w:t>
            </w:r>
          </w:p>
        </w:tc>
        <w:tc>
          <w:tcPr>
            <w:tcW w:w="12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610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Basic (3)</w:t>
            </w:r>
          </w:p>
        </w:tc>
        <w:tc>
          <w:tcPr>
            <w:tcW w:w="12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688,165,887</w:t>
            </w:r>
          </w:p>
        </w:tc>
        <w:tc>
          <w:tcPr>
            <w:tcW w:w="8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197,751,810</w:t>
            </w:r>
          </w:p>
        </w:tc>
        <w:tc>
          <w:tcPr>
            <w:tcW w:w="10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459,044,846</w:t>
            </w:r>
          </w:p>
        </w:tc>
        <w:tc>
          <w:tcPr>
            <w:tcW w:w="80" w:type="dxa"/>
            <w:vAlign w:val="bottom"/>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195,312,586</w:t>
            </w:r>
          </w:p>
        </w:tc>
        <w:tc>
          <w:tcPr>
            <w:tcW w:w="0" w:type="dxa"/>
            <w:vAlign w:val="bottom"/>
          </w:tcPr>
          <w:p>
            <w:pPr>
              <w:spacing w:after="0"/>
              <w:rPr>
                <w:sz w:val="1"/>
                <w:szCs w:val="1"/>
                <w:color w:val="auto"/>
              </w:rPr>
            </w:pPr>
          </w:p>
        </w:tc>
      </w:tr>
      <w:tr>
        <w:trPr>
          <w:trHeight w:val="20"/>
        </w:trPr>
        <w:tc>
          <w:tcPr>
            <w:tcW w:w="6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610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Diluted (3)</w:t>
            </w:r>
          </w:p>
        </w:tc>
        <w:tc>
          <w:tcPr>
            <w:tcW w:w="12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697,441,165</w:t>
            </w:r>
          </w:p>
        </w:tc>
        <w:tc>
          <w:tcPr>
            <w:tcW w:w="8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448,116,776</w:t>
            </w:r>
          </w:p>
        </w:tc>
        <w:tc>
          <w:tcPr>
            <w:tcW w:w="10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699,631,838</w:t>
            </w:r>
          </w:p>
        </w:tc>
        <w:tc>
          <w:tcPr>
            <w:tcW w:w="80" w:type="dxa"/>
            <w:vAlign w:val="bottom"/>
            <w:tcBorders>
              <w:bottom w:val="single" w:sz="8" w:color="CCEEFF"/>
            </w:tcBorders>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262,995,525</w:t>
            </w:r>
          </w:p>
        </w:tc>
        <w:tc>
          <w:tcPr>
            <w:tcW w:w="0" w:type="dxa"/>
            <w:vAlign w:val="bottom"/>
          </w:tcPr>
          <w:p>
            <w:pPr>
              <w:spacing w:after="0"/>
              <w:rPr>
                <w:sz w:val="1"/>
                <w:szCs w:val="1"/>
                <w:color w:val="auto"/>
              </w:rPr>
            </w:pPr>
          </w:p>
        </w:tc>
      </w:tr>
      <w:tr>
        <w:trPr>
          <w:trHeight w:val="20"/>
        </w:trPr>
        <w:tc>
          <w:tcPr>
            <w:tcW w:w="6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06" w:lineRule="exact"/>
        <w:rPr>
          <w:sz w:val="20"/>
          <w:szCs w:val="20"/>
          <w:color w:val="auto"/>
        </w:rPr>
      </w:pPr>
    </w:p>
    <w:p>
      <w:pPr>
        <w:jc w:val="both"/>
        <w:ind w:firstLine="8"/>
        <w:spacing w:after="0" w:line="249" w:lineRule="auto"/>
        <w:tabs>
          <w:tab w:leader="none" w:pos="182" w:val="left"/>
        </w:tabs>
        <w:numPr>
          <w:ilvl w:val="0"/>
          <w:numId w:val="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Certain amounts included for the three months ended December 31, 2021 in Production costs have been reclassified to be included in General and administrative expenses in order to conform to the presentation for the 2022 periods and year ended December 31, 2021. The effect of the reclassification on the Company’s previously reported unaudited condensed consolidated interim financial statements for each of the three months ended September 30, 2021, June 30, 2021 and March 31, 2021 is a decrease in Production costs and a corresponding increase in General and administrative expenses of approximately $11.0 million, $8.9 million and $7.8 million for the three months ended September 30, 2021, June 30, 2021, and March 31, 2021, respectively. The reclassification has no other effect on the previously reported financial position, net loss, and cash flows for the 2021 periods.</w:t>
      </w:r>
    </w:p>
    <w:p>
      <w:pPr>
        <w:spacing w:after="0" w:line="223" w:lineRule="exact"/>
        <w:rPr>
          <w:rFonts w:ascii="Times New Roman" w:cs="Times New Roman" w:eastAsia="Times New Roman" w:hAnsi="Times New Roman"/>
          <w:sz w:val="13"/>
          <w:szCs w:val="13"/>
          <w:color w:val="auto"/>
        </w:rPr>
      </w:pPr>
    </w:p>
    <w:p>
      <w:pPr>
        <w:ind w:left="180" w:hanging="172"/>
        <w:spacing w:after="0"/>
        <w:tabs>
          <w:tab w:leader="none" w:pos="180" w:val="left"/>
        </w:tabs>
        <w:numPr>
          <w:ilvl w:val="0"/>
          <w:numId w:val="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following table sets forth share-based compensation for the periods indicated below:</w:t>
      </w:r>
    </w:p>
    <w:p>
      <w:pPr>
        <w:spacing w:after="0" w:line="2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100" w:type="dxa"/>
            <w:vAlign w:val="bottom"/>
          </w:tcPr>
          <w:p>
            <w:pPr>
              <w:spacing w:after="0"/>
              <w:rPr>
                <w:sz w:val="13"/>
                <w:szCs w:val="13"/>
                <w:color w:val="auto"/>
              </w:rPr>
            </w:pPr>
          </w:p>
        </w:tc>
        <w:tc>
          <w:tcPr>
            <w:tcW w:w="2620" w:type="dxa"/>
            <w:vAlign w:val="bottom"/>
            <w:gridSpan w:val="6"/>
            <w:vMerge w:val="restart"/>
          </w:tcPr>
          <w:p>
            <w:pPr>
              <w:ind w:left="160"/>
              <w:spacing w:after="0"/>
              <w:rPr>
                <w:sz w:val="20"/>
                <w:szCs w:val="20"/>
                <w:color w:val="auto"/>
              </w:rPr>
            </w:pPr>
            <w:r>
              <w:rPr>
                <w:rFonts w:ascii="Times New Roman" w:cs="Times New Roman" w:eastAsia="Times New Roman" w:hAnsi="Times New Roman"/>
                <w:sz w:val="14"/>
                <w:szCs w:val="14"/>
                <w:b w:val="1"/>
                <w:bCs w:val="1"/>
                <w:color w:val="auto"/>
              </w:rPr>
              <w:t>Three Months Ended December 31,</w:t>
            </w:r>
          </w:p>
        </w:tc>
        <w:tc>
          <w:tcPr>
            <w:tcW w:w="280" w:type="dxa"/>
            <w:vAlign w:val="bottom"/>
          </w:tcPr>
          <w:p>
            <w:pPr>
              <w:spacing w:after="0"/>
              <w:rPr>
                <w:sz w:val="13"/>
                <w:szCs w:val="13"/>
                <w:color w:val="auto"/>
              </w:rPr>
            </w:pPr>
          </w:p>
        </w:tc>
        <w:tc>
          <w:tcPr>
            <w:tcW w:w="1440" w:type="dxa"/>
            <w:vAlign w:val="bottom"/>
            <w:gridSpan w:val="3"/>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5"/>
        </w:trPr>
        <w:tc>
          <w:tcPr>
            <w:tcW w:w="6100" w:type="dxa"/>
            <w:vAlign w:val="bottom"/>
          </w:tcPr>
          <w:p>
            <w:pPr>
              <w:spacing w:after="0"/>
              <w:rPr>
                <w:sz w:val="16"/>
                <w:szCs w:val="16"/>
                <w:color w:val="auto"/>
              </w:rPr>
            </w:pPr>
          </w:p>
        </w:tc>
        <w:tc>
          <w:tcPr>
            <w:tcW w:w="2620" w:type="dxa"/>
            <w:vAlign w:val="bottom"/>
            <w:gridSpan w:val="6"/>
            <w:vMerge w:val="continue"/>
          </w:tcPr>
          <w:p>
            <w:pPr>
              <w:spacing w:after="0"/>
              <w:rPr>
                <w:sz w:val="16"/>
                <w:szCs w:val="16"/>
                <w:color w:val="auto"/>
              </w:rPr>
            </w:pPr>
          </w:p>
        </w:tc>
        <w:tc>
          <w:tcPr>
            <w:tcW w:w="280" w:type="dxa"/>
            <w:vAlign w:val="bottom"/>
          </w:tcPr>
          <w:p>
            <w:pPr>
              <w:spacing w:after="0"/>
              <w:rPr>
                <w:sz w:val="16"/>
                <w:szCs w:val="16"/>
                <w:color w:val="auto"/>
              </w:rPr>
            </w:pPr>
          </w:p>
        </w:tc>
        <w:tc>
          <w:tcPr>
            <w:tcW w:w="144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8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6100" w:type="dxa"/>
            <w:vAlign w:val="bottom"/>
            <w:tcBorders>
              <w:bottom w:val="single" w:sz="8" w:color="CCEEFF"/>
            </w:tcBorders>
          </w:tcPr>
          <w:p>
            <w:pPr>
              <w:spacing w:after="0"/>
              <w:rPr>
                <w:sz w:val="16"/>
                <w:szCs w:val="16"/>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2022</w:t>
            </w:r>
          </w:p>
        </w:tc>
        <w:tc>
          <w:tcPr>
            <w:tcW w:w="460" w:type="dxa"/>
            <w:vAlign w:val="bottom"/>
            <w:tcBorders>
              <w:top w:val="single" w:sz="8" w:color="auto"/>
              <w:bottom w:val="single" w:sz="8" w:color="auto"/>
            </w:tcBorders>
          </w:tcPr>
          <w:p>
            <w:pPr>
              <w:spacing w:after="0"/>
              <w:rPr>
                <w:sz w:val="16"/>
                <w:szCs w:val="16"/>
                <w:color w:val="auto"/>
              </w:rPr>
            </w:pPr>
          </w:p>
        </w:tc>
        <w:tc>
          <w:tcPr>
            <w:tcW w:w="80" w:type="dxa"/>
            <w:vAlign w:val="bottom"/>
            <w:tcBorders>
              <w:top w:val="single" w:sz="8" w:color="auto"/>
              <w:bottom w:val="single" w:sz="8" w:color="CCEEFF"/>
            </w:tcBorders>
          </w:tcPr>
          <w:p>
            <w:pPr>
              <w:spacing w:after="0"/>
              <w:rPr>
                <w:sz w:val="16"/>
                <w:szCs w:val="16"/>
                <w:color w:val="auto"/>
              </w:rPr>
            </w:pPr>
          </w:p>
        </w:tc>
        <w:tc>
          <w:tcPr>
            <w:tcW w:w="280" w:type="dxa"/>
            <w:vAlign w:val="bottom"/>
            <w:tcBorders>
              <w:top w:val="single" w:sz="8" w:color="auto"/>
              <w:bottom w:val="single" w:sz="8" w:color="auto"/>
            </w:tcBorders>
          </w:tcPr>
          <w:p>
            <w:pPr>
              <w:spacing w:after="0"/>
              <w:rPr>
                <w:sz w:val="16"/>
                <w:szCs w:val="16"/>
                <w:color w:val="auto"/>
              </w:rPr>
            </w:pPr>
          </w:p>
        </w:tc>
        <w:tc>
          <w:tcPr>
            <w:tcW w:w="940" w:type="dxa"/>
            <w:vAlign w:val="bottom"/>
            <w:tcBorders>
              <w:top w:val="single" w:sz="8" w:color="auto"/>
              <w:bottom w:val="single" w:sz="8" w:color="auto"/>
            </w:tcBorders>
          </w:tcPr>
          <w:p>
            <w:pPr>
              <w:jc w:val="right"/>
              <w:ind w:right="388"/>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Borders>
              <w:bottom w:val="single" w:sz="8" w:color="CCEEFF"/>
            </w:tcBorders>
          </w:tcPr>
          <w:p>
            <w:pPr>
              <w:spacing w:after="0"/>
              <w:rPr>
                <w:sz w:val="16"/>
                <w:szCs w:val="16"/>
                <w:color w:val="auto"/>
              </w:rPr>
            </w:pPr>
          </w:p>
        </w:tc>
        <w:tc>
          <w:tcPr>
            <w:tcW w:w="280" w:type="dxa"/>
            <w:vAlign w:val="bottom"/>
            <w:tcBorders>
              <w:top w:val="single" w:sz="8" w:color="auto"/>
              <w:bottom w:val="single" w:sz="8" w:color="auto"/>
            </w:tcBorders>
          </w:tcPr>
          <w:p>
            <w:pPr>
              <w:spacing w:after="0"/>
              <w:rPr>
                <w:sz w:val="16"/>
                <w:szCs w:val="16"/>
                <w:color w:val="auto"/>
              </w:rPr>
            </w:pPr>
          </w:p>
        </w:tc>
        <w:tc>
          <w:tcPr>
            <w:tcW w:w="940" w:type="dxa"/>
            <w:vAlign w:val="bottom"/>
            <w:tcBorders>
              <w:top w:val="single" w:sz="8" w:color="auto"/>
              <w:bottom w:val="single" w:sz="8" w:color="auto"/>
            </w:tcBorders>
          </w:tcPr>
          <w:p>
            <w:pPr>
              <w:jc w:val="right"/>
              <w:ind w:right="408"/>
              <w:spacing w:after="0"/>
              <w:rPr>
                <w:sz w:val="20"/>
                <w:szCs w:val="20"/>
                <w:color w:val="auto"/>
              </w:rPr>
            </w:pPr>
            <w:r>
              <w:rPr>
                <w:rFonts w:ascii="Times New Roman" w:cs="Times New Roman" w:eastAsia="Times New Roman" w:hAnsi="Times New Roman"/>
                <w:sz w:val="14"/>
                <w:szCs w:val="14"/>
                <w:b w:val="1"/>
                <w:bCs w:val="1"/>
                <w:color w:val="auto"/>
              </w:rPr>
              <w:t>2022</w:t>
            </w:r>
          </w:p>
        </w:tc>
        <w:tc>
          <w:tcPr>
            <w:tcW w:w="80" w:type="dxa"/>
            <w:vAlign w:val="bottom"/>
            <w:tcBorders>
              <w:top w:val="single" w:sz="8" w:color="auto"/>
              <w:bottom w:val="single" w:sz="8" w:color="CCEEFF"/>
            </w:tcBorders>
          </w:tcPr>
          <w:p>
            <w:pPr>
              <w:spacing w:after="0"/>
              <w:rPr>
                <w:sz w:val="16"/>
                <w:szCs w:val="16"/>
                <w:color w:val="auto"/>
              </w:rPr>
            </w:pPr>
          </w:p>
        </w:tc>
        <w:tc>
          <w:tcPr>
            <w:tcW w:w="420" w:type="dxa"/>
            <w:vAlign w:val="bottom"/>
            <w:tcBorders>
              <w:top w:val="single" w:sz="8" w:color="auto"/>
              <w:bottom w:val="single" w:sz="8" w:color="auto"/>
            </w:tcBorders>
          </w:tcPr>
          <w:p>
            <w:pPr>
              <w:spacing w:after="0"/>
              <w:rPr>
                <w:sz w:val="16"/>
                <w:szCs w:val="16"/>
                <w:color w:val="auto"/>
              </w:rPr>
            </w:pPr>
          </w:p>
        </w:tc>
        <w:tc>
          <w:tcPr>
            <w:tcW w:w="800" w:type="dxa"/>
            <w:vAlign w:val="bottom"/>
            <w:tcBorders>
              <w:top w:val="single" w:sz="8" w:color="auto"/>
              <w:bottom w:val="single" w:sz="8" w:color="auto"/>
            </w:tcBorders>
          </w:tcPr>
          <w:p>
            <w:pPr>
              <w:jc w:val="right"/>
              <w:ind w:right="388"/>
              <w:spacing w:after="0"/>
              <w:rPr>
                <w:sz w:val="20"/>
                <w:szCs w:val="20"/>
                <w:color w:val="auto"/>
              </w:rPr>
            </w:pPr>
            <w:r>
              <w:rPr>
                <w:rFonts w:ascii="Times New Roman" w:cs="Times New Roman" w:eastAsia="Times New Roman" w:hAnsi="Times New Roman"/>
                <w:sz w:val="14"/>
                <w:szCs w:val="14"/>
                <w:b w:val="1"/>
                <w:bCs w:val="1"/>
                <w:color w:val="auto"/>
              </w:rPr>
              <w:t>2021</w:t>
            </w:r>
          </w:p>
        </w:tc>
        <w:tc>
          <w:tcPr>
            <w:tcW w:w="0" w:type="dxa"/>
            <w:vAlign w:val="bottom"/>
          </w:tcPr>
          <w:p>
            <w:pPr>
              <w:spacing w:after="0"/>
              <w:rPr>
                <w:sz w:val="1"/>
                <w:szCs w:val="1"/>
                <w:color w:val="auto"/>
              </w:rPr>
            </w:pPr>
          </w:p>
        </w:tc>
      </w:tr>
      <w:tr>
        <w:trPr>
          <w:trHeight w:val="202"/>
        </w:trPr>
        <w:tc>
          <w:tcPr>
            <w:tcW w:w="6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Research and development</w:t>
            </w:r>
          </w:p>
        </w:tc>
        <w:tc>
          <w:tcPr>
            <w:tcW w:w="760" w:type="dxa"/>
            <w:vAlign w:val="bottom"/>
            <w:shd w:val="clear" w:color="auto" w:fill="CCEEFF"/>
          </w:tcPr>
          <w:p>
            <w:pPr>
              <w:jc w:val="right"/>
              <w:ind w:right="608"/>
              <w:spacing w:after="0"/>
              <w:rPr>
                <w:sz w:val="20"/>
                <w:szCs w:val="20"/>
                <w:color w:val="auto"/>
              </w:rPr>
            </w:pPr>
            <w:r>
              <w:rPr>
                <w:rFonts w:ascii="Times New Roman" w:cs="Times New Roman" w:eastAsia="Times New Roman" w:hAnsi="Times New Roman"/>
                <w:sz w:val="14"/>
                <w:szCs w:val="14"/>
                <w:color w:val="auto"/>
                <w:w w:val="85"/>
              </w:rPr>
              <w:t>$</w:t>
            </w:r>
          </w:p>
        </w:tc>
        <w:tc>
          <w:tcPr>
            <w:tcW w:w="46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4,886</w:t>
            </w:r>
          </w:p>
        </w:tc>
        <w:tc>
          <w:tcPr>
            <w:tcW w:w="80" w:type="dxa"/>
            <w:vAlign w:val="bottom"/>
            <w:shd w:val="clear" w:color="auto" w:fill="CCEEFF"/>
          </w:tcPr>
          <w:p>
            <w:pPr>
              <w:spacing w:after="0"/>
              <w:rPr>
                <w:sz w:val="17"/>
                <w:szCs w:val="17"/>
                <w:color w:val="auto"/>
              </w:rPr>
            </w:pPr>
          </w:p>
        </w:tc>
        <w:tc>
          <w:tcPr>
            <w:tcW w:w="28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shd w:val="clear" w:color="auto" w:fill="CCEEFF"/>
          </w:tcPr>
          <w:p>
            <w:pPr>
              <w:jc w:val="center"/>
              <w:ind w:left="408"/>
              <w:spacing w:after="0"/>
              <w:rPr>
                <w:sz w:val="20"/>
                <w:szCs w:val="20"/>
                <w:color w:val="auto"/>
              </w:rPr>
            </w:pPr>
            <w:r>
              <w:rPr>
                <w:rFonts w:ascii="Times New Roman" w:cs="Times New Roman" w:eastAsia="Times New Roman" w:hAnsi="Times New Roman"/>
                <w:sz w:val="14"/>
                <w:szCs w:val="14"/>
                <w:color w:val="auto"/>
              </w:rPr>
              <w:t>800</w:t>
            </w: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81,337</w:t>
            </w:r>
          </w:p>
        </w:tc>
        <w:tc>
          <w:tcPr>
            <w:tcW w:w="80" w:type="dxa"/>
            <w:vAlign w:val="bottom"/>
            <w:shd w:val="clear" w:color="auto" w:fill="CCEEFF"/>
          </w:tcPr>
          <w:p>
            <w:pPr>
              <w:spacing w:after="0"/>
              <w:rPr>
                <w:sz w:val="17"/>
                <w:szCs w:val="17"/>
                <w:color w:val="auto"/>
              </w:rPr>
            </w:pPr>
          </w:p>
        </w:tc>
        <w:tc>
          <w:tcPr>
            <w:tcW w:w="420" w:type="dxa"/>
            <w:vAlign w:val="bottom"/>
            <w:shd w:val="clear" w:color="auto" w:fill="CCEEFF"/>
          </w:tcPr>
          <w:p>
            <w:pPr>
              <w:jc w:val="right"/>
              <w:ind w:right="248"/>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27,042</w:t>
            </w:r>
          </w:p>
        </w:tc>
        <w:tc>
          <w:tcPr>
            <w:tcW w:w="0" w:type="dxa"/>
            <w:vAlign w:val="bottom"/>
          </w:tcPr>
          <w:p>
            <w:pPr>
              <w:spacing w:after="0"/>
              <w:rPr>
                <w:sz w:val="1"/>
                <w:szCs w:val="1"/>
                <w:color w:val="auto"/>
              </w:rPr>
            </w:pPr>
          </w:p>
        </w:tc>
      </w:tr>
      <w:tr>
        <w:trPr>
          <w:trHeight w:val="195"/>
        </w:trPr>
        <w:tc>
          <w:tcPr>
            <w:tcW w:w="61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Selling and marketing</w:t>
            </w:r>
          </w:p>
        </w:tc>
        <w:tc>
          <w:tcPr>
            <w:tcW w:w="760" w:type="dxa"/>
            <w:vAlign w:val="bottom"/>
          </w:tcPr>
          <w:p>
            <w:pPr>
              <w:spacing w:after="0"/>
              <w:rPr>
                <w:sz w:val="16"/>
                <w:szCs w:val="16"/>
                <w:color w:val="auto"/>
              </w:rPr>
            </w:pPr>
          </w:p>
        </w:tc>
        <w:tc>
          <w:tcPr>
            <w:tcW w:w="4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3,843</w:t>
            </w: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40" w:type="dxa"/>
            <w:vAlign w:val="bottom"/>
          </w:tcPr>
          <w:p>
            <w:pPr>
              <w:jc w:val="center"/>
              <w:ind w:left="428"/>
              <w:spacing w:after="0"/>
              <w:rPr>
                <w:sz w:val="20"/>
                <w:szCs w:val="20"/>
                <w:color w:val="auto"/>
              </w:rPr>
            </w:pPr>
            <w:r>
              <w:rPr>
                <w:rFonts w:ascii="Times New Roman" w:cs="Times New Roman" w:eastAsia="Times New Roman" w:hAnsi="Times New Roman"/>
                <w:sz w:val="14"/>
                <w:szCs w:val="14"/>
                <w:color w:val="auto"/>
              </w:rPr>
              <w:t>1,048</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4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58,377</w:t>
            </w:r>
          </w:p>
        </w:tc>
        <w:tc>
          <w:tcPr>
            <w:tcW w:w="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18,458</w:t>
            </w:r>
          </w:p>
        </w:tc>
        <w:tc>
          <w:tcPr>
            <w:tcW w:w="0" w:type="dxa"/>
            <w:vAlign w:val="bottom"/>
          </w:tcPr>
          <w:p>
            <w:pPr>
              <w:spacing w:after="0"/>
              <w:rPr>
                <w:sz w:val="1"/>
                <w:szCs w:val="1"/>
                <w:color w:val="auto"/>
              </w:rPr>
            </w:pPr>
          </w:p>
        </w:tc>
      </w:tr>
      <w:tr>
        <w:trPr>
          <w:trHeight w:val="203"/>
        </w:trPr>
        <w:tc>
          <w:tcPr>
            <w:tcW w:w="6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General and administrative</w:t>
            </w:r>
          </w:p>
        </w:tc>
        <w:tc>
          <w:tcPr>
            <w:tcW w:w="760" w:type="dxa"/>
            <w:vAlign w:val="bottom"/>
            <w:tcBorders>
              <w:bottom w:val="single" w:sz="8" w:color="auto"/>
            </w:tcBorders>
            <w:shd w:val="clear" w:color="auto" w:fill="CCEEFF"/>
          </w:tcPr>
          <w:p>
            <w:pPr>
              <w:spacing w:after="0"/>
              <w:rPr>
                <w:sz w:val="17"/>
                <w:szCs w:val="17"/>
                <w:color w:val="auto"/>
              </w:rPr>
            </w:pPr>
          </w:p>
        </w:tc>
        <w:tc>
          <w:tcPr>
            <w:tcW w:w="46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9,953</w:t>
            </w:r>
          </w:p>
        </w:tc>
        <w:tc>
          <w:tcPr>
            <w:tcW w:w="80" w:type="dxa"/>
            <w:vAlign w:val="bottom"/>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spacing w:after="0"/>
              <w:rPr>
                <w:sz w:val="17"/>
                <w:szCs w:val="17"/>
                <w:color w:val="auto"/>
              </w:rPr>
            </w:pPr>
          </w:p>
        </w:tc>
        <w:tc>
          <w:tcPr>
            <w:tcW w:w="940" w:type="dxa"/>
            <w:vAlign w:val="bottom"/>
            <w:tcBorders>
              <w:bottom w:val="single" w:sz="8" w:color="auto"/>
            </w:tcBorders>
            <w:shd w:val="clear" w:color="auto" w:fill="CCEEFF"/>
          </w:tcPr>
          <w:p>
            <w:pPr>
              <w:jc w:val="center"/>
              <w:ind w:left="428"/>
              <w:spacing w:after="0"/>
              <w:rPr>
                <w:sz w:val="20"/>
                <w:szCs w:val="20"/>
                <w:color w:val="auto"/>
              </w:rPr>
            </w:pPr>
            <w:r>
              <w:rPr>
                <w:rFonts w:ascii="Times New Roman" w:cs="Times New Roman" w:eastAsia="Times New Roman" w:hAnsi="Times New Roman"/>
                <w:sz w:val="14"/>
                <w:szCs w:val="14"/>
                <w:color w:val="auto"/>
              </w:rPr>
              <w:t>2,963</w:t>
            </w:r>
          </w:p>
        </w:tc>
        <w:tc>
          <w:tcPr>
            <w:tcW w:w="100" w:type="dxa"/>
            <w:vAlign w:val="bottom"/>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spacing w:after="0"/>
              <w:rPr>
                <w:sz w:val="17"/>
                <w:szCs w:val="17"/>
                <w:color w:val="auto"/>
              </w:rPr>
            </w:pPr>
          </w:p>
        </w:tc>
        <w:tc>
          <w:tcPr>
            <w:tcW w:w="94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101,975</w:t>
            </w:r>
          </w:p>
        </w:tc>
        <w:tc>
          <w:tcPr>
            <w:tcW w:w="80" w:type="dxa"/>
            <w:vAlign w:val="bottom"/>
            <w:shd w:val="clear" w:color="auto" w:fill="CCEEFF"/>
          </w:tcPr>
          <w:p>
            <w:pPr>
              <w:spacing w:after="0"/>
              <w:rPr>
                <w:sz w:val="17"/>
                <w:szCs w:val="17"/>
                <w:color w:val="auto"/>
              </w:rPr>
            </w:pPr>
          </w:p>
        </w:tc>
        <w:tc>
          <w:tcPr>
            <w:tcW w:w="420" w:type="dxa"/>
            <w:vAlign w:val="bottom"/>
            <w:tcBorders>
              <w:bottom w:val="single" w:sz="8" w:color="auto"/>
            </w:tcBorders>
            <w:shd w:val="clear" w:color="auto" w:fill="CCEEFF"/>
          </w:tcPr>
          <w:p>
            <w:pPr>
              <w:spacing w:after="0"/>
              <w:rPr>
                <w:sz w:val="17"/>
                <w:szCs w:val="17"/>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22,285</w:t>
            </w:r>
          </w:p>
        </w:tc>
        <w:tc>
          <w:tcPr>
            <w:tcW w:w="0" w:type="dxa"/>
            <w:vAlign w:val="bottom"/>
          </w:tcPr>
          <w:p>
            <w:pPr>
              <w:spacing w:after="0"/>
              <w:rPr>
                <w:sz w:val="1"/>
                <w:szCs w:val="1"/>
                <w:color w:val="auto"/>
              </w:rPr>
            </w:pPr>
          </w:p>
        </w:tc>
      </w:tr>
      <w:tr>
        <w:trPr>
          <w:trHeight w:val="203"/>
        </w:trPr>
        <w:tc>
          <w:tcPr>
            <w:tcW w:w="61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Total</w:t>
            </w:r>
          </w:p>
        </w:tc>
        <w:tc>
          <w:tcPr>
            <w:tcW w:w="760" w:type="dxa"/>
            <w:vAlign w:val="bottom"/>
            <w:tcBorders>
              <w:bottom w:val="single" w:sz="8" w:color="auto"/>
            </w:tcBorders>
          </w:tcPr>
          <w:p>
            <w:pPr>
              <w:jc w:val="right"/>
              <w:ind w:right="608"/>
              <w:spacing w:after="0"/>
              <w:rPr>
                <w:sz w:val="20"/>
                <w:szCs w:val="20"/>
                <w:color w:val="auto"/>
              </w:rPr>
            </w:pPr>
            <w:r>
              <w:rPr>
                <w:rFonts w:ascii="Times New Roman" w:cs="Times New Roman" w:eastAsia="Times New Roman" w:hAnsi="Times New Roman"/>
                <w:sz w:val="14"/>
                <w:szCs w:val="14"/>
                <w:color w:val="auto"/>
                <w:w w:val="85"/>
              </w:rPr>
              <w:t>$</w:t>
            </w:r>
          </w:p>
        </w:tc>
        <w:tc>
          <w:tcPr>
            <w:tcW w:w="46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w w:val="93"/>
              </w:rPr>
              <w:t>18,682</w:t>
            </w:r>
          </w:p>
        </w:tc>
        <w:tc>
          <w:tcPr>
            <w:tcW w:w="80" w:type="dxa"/>
            <w:vAlign w:val="bottom"/>
          </w:tcPr>
          <w:p>
            <w:pPr>
              <w:spacing w:after="0"/>
              <w:rPr>
                <w:sz w:val="17"/>
                <w:szCs w:val="17"/>
                <w:color w:val="auto"/>
              </w:rPr>
            </w:pPr>
          </w:p>
        </w:tc>
        <w:tc>
          <w:tcPr>
            <w:tcW w:w="280" w:type="dxa"/>
            <w:vAlign w:val="bottom"/>
            <w:tcBorders>
              <w:bottom w:val="single" w:sz="8" w:color="auto"/>
            </w:tcBorders>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tcBorders>
              <w:bottom w:val="single" w:sz="8" w:color="auto"/>
            </w:tcBorders>
          </w:tcPr>
          <w:p>
            <w:pPr>
              <w:jc w:val="center"/>
              <w:ind w:left="428"/>
              <w:spacing w:after="0"/>
              <w:rPr>
                <w:sz w:val="20"/>
                <w:szCs w:val="20"/>
                <w:color w:val="auto"/>
              </w:rPr>
            </w:pPr>
            <w:r>
              <w:rPr>
                <w:rFonts w:ascii="Times New Roman" w:cs="Times New Roman" w:eastAsia="Times New Roman" w:hAnsi="Times New Roman"/>
                <w:sz w:val="14"/>
                <w:szCs w:val="14"/>
                <w:color w:val="auto"/>
              </w:rPr>
              <w:t>4,811</w:t>
            </w:r>
          </w:p>
        </w:tc>
        <w:tc>
          <w:tcPr>
            <w:tcW w:w="100" w:type="dxa"/>
            <w:vAlign w:val="bottom"/>
          </w:tcPr>
          <w:p>
            <w:pPr>
              <w:spacing w:after="0"/>
              <w:rPr>
                <w:sz w:val="17"/>
                <w:szCs w:val="17"/>
                <w:color w:val="auto"/>
              </w:rPr>
            </w:pPr>
          </w:p>
        </w:tc>
        <w:tc>
          <w:tcPr>
            <w:tcW w:w="280" w:type="dxa"/>
            <w:vAlign w:val="bottom"/>
            <w:tcBorders>
              <w:bottom w:val="single" w:sz="8" w:color="auto"/>
            </w:tcBorders>
          </w:tcPr>
          <w:p>
            <w:pPr>
              <w:jc w:val="right"/>
              <w:ind w:right="128"/>
              <w:spacing w:after="0"/>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241,689</w:t>
            </w:r>
          </w:p>
        </w:tc>
        <w:tc>
          <w:tcPr>
            <w:tcW w:w="80" w:type="dxa"/>
            <w:vAlign w:val="bottom"/>
          </w:tcPr>
          <w:p>
            <w:pPr>
              <w:spacing w:after="0"/>
              <w:rPr>
                <w:sz w:val="17"/>
                <w:szCs w:val="17"/>
                <w:color w:val="auto"/>
              </w:rPr>
            </w:pPr>
          </w:p>
        </w:tc>
        <w:tc>
          <w:tcPr>
            <w:tcW w:w="420" w:type="dxa"/>
            <w:vAlign w:val="bottom"/>
            <w:tcBorders>
              <w:bottom w:val="single" w:sz="8" w:color="auto"/>
            </w:tcBorders>
          </w:tcPr>
          <w:p>
            <w:pPr>
              <w:jc w:val="right"/>
              <w:ind w:right="248"/>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67,785</w:t>
            </w:r>
          </w:p>
        </w:tc>
        <w:tc>
          <w:tcPr>
            <w:tcW w:w="0" w:type="dxa"/>
            <w:vAlign w:val="bottom"/>
          </w:tcPr>
          <w:p>
            <w:pPr>
              <w:spacing w:after="0"/>
              <w:rPr>
                <w:sz w:val="1"/>
                <w:szCs w:val="1"/>
                <w:color w:val="auto"/>
              </w:rPr>
            </w:pPr>
          </w:p>
        </w:tc>
      </w:tr>
      <w:tr>
        <w:trPr>
          <w:trHeight w:val="20"/>
        </w:trPr>
        <w:tc>
          <w:tcPr>
            <w:tcW w:w="610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49" w:lineRule="exact"/>
        <w:rPr>
          <w:sz w:val="20"/>
          <w:szCs w:val="20"/>
          <w:color w:val="auto"/>
        </w:rPr>
      </w:pPr>
    </w:p>
    <w:p>
      <w:pPr>
        <w:ind w:left="180" w:hanging="172"/>
        <w:spacing w:after="0"/>
        <w:tabs>
          <w:tab w:leader="none" w:pos="180" w:val="left"/>
        </w:tabs>
        <w:numPr>
          <w:ilvl w:val="0"/>
          <w:numId w:val="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Prior period amounts have been retroactively adjusted to reflect the 1:186.9 stock split effected on June 22, 2022.</w:t>
      </w:r>
    </w:p>
    <w:p>
      <w:pPr>
        <w:spacing w:after="0" w:line="215" w:lineRule="exact"/>
        <w:rPr>
          <w:rFonts w:ascii="Times New Roman" w:cs="Times New Roman" w:eastAsia="Times New Roman" w:hAnsi="Times New Roman"/>
          <w:sz w:val="13"/>
          <w:szCs w:val="13"/>
          <w:color w:val="auto"/>
        </w:rPr>
      </w:pPr>
    </w:p>
    <w:p>
      <w:pPr>
        <w:ind w:left="180" w:hanging="172"/>
        <w:spacing w:after="0"/>
        <w:tabs>
          <w:tab w:leader="none" w:pos="180" w:val="left"/>
        </w:tabs>
        <w:numPr>
          <w:ilvl w:val="0"/>
          <w:numId w:val="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See “Reconciliation of Non-GAAP Financial Measures” for a reconciliation of this and adjusted EBITDA, another non-GAAP measure.</w:t>
      </w:r>
    </w:p>
    <w:p>
      <w:pPr>
        <w:sectPr>
          <w:pgSz w:w="11900" w:h="16838" w:orient="portrait"/>
          <w:cols w:equalWidth="0" w:num="1">
            <w:col w:w="11240"/>
          </w:cols>
          <w:pgMar w:left="320" w:top="1406" w:right="3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6"/>
          <w:szCs w:val="16"/>
          <w:b w:val="1"/>
          <w:bCs w:val="1"/>
          <w:color w:val="auto"/>
        </w:rPr>
        <w:t>PAGAYA TECHNOLOGIES LTD.</w:t>
      </w:r>
    </w:p>
    <w:p>
      <w:pPr>
        <w:spacing w:after="0" w:line="1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CONSOLIDATED STATEMENTS OF FINANCIAL POSITION (UNAUDITED)</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(In thousands)</w:t>
      </w:r>
    </w:p>
    <w:p>
      <w:pPr>
        <w:spacing w:after="0" w:line="17"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2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680" w:type="dxa"/>
            <w:vAlign w:val="bottom"/>
            <w:gridSpan w:val="3"/>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960" w:type="dxa"/>
            <w:vAlign w:val="bottom"/>
          </w:tcPr>
          <w:p>
            <w:pPr>
              <w:spacing w:after="0"/>
              <w:rPr>
                <w:sz w:val="16"/>
                <w:szCs w:val="16"/>
                <w:color w:val="auto"/>
              </w:rPr>
            </w:pPr>
          </w:p>
        </w:tc>
      </w:tr>
      <w:tr>
        <w:trPr>
          <w:trHeight w:val="23"/>
        </w:trPr>
        <w:tc>
          <w:tcPr>
            <w:tcW w:w="826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190"/>
        </w:trPr>
        <w:tc>
          <w:tcPr>
            <w:tcW w:w="826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508"/>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Borders>
              <w:bottom w:val="single" w:sz="8" w:color="CCEEFF"/>
            </w:tcBorders>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508"/>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189"/>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Assets</w:t>
            </w:r>
          </w:p>
        </w:tc>
        <w:tc>
          <w:tcPr>
            <w:tcW w:w="34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r>
      <w:tr>
        <w:trPr>
          <w:trHeight w:val="195"/>
        </w:trPr>
        <w:tc>
          <w:tcPr>
            <w:tcW w:w="82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Current assets:</w:t>
            </w:r>
          </w:p>
        </w:tc>
        <w:tc>
          <w:tcPr>
            <w:tcW w:w="3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960" w:type="dxa"/>
            <w:vAlign w:val="bottom"/>
          </w:tcPr>
          <w:p>
            <w:pPr>
              <w:spacing w:after="0"/>
              <w:rPr>
                <w:sz w:val="16"/>
                <w:szCs w:val="16"/>
                <w:color w:val="auto"/>
              </w:rPr>
            </w:pPr>
          </w:p>
        </w:tc>
      </w:tr>
      <w:tr>
        <w:trPr>
          <w:trHeight w:val="210"/>
        </w:trPr>
        <w:tc>
          <w:tcPr>
            <w:tcW w:w="82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Cash and cash equivalents</w:t>
            </w:r>
          </w:p>
        </w:tc>
        <w:tc>
          <w:tcPr>
            <w:tcW w:w="340" w:type="dxa"/>
            <w:vAlign w:val="bottom"/>
            <w:shd w:val="clear" w:color="auto" w:fill="CCEEFF"/>
          </w:tcPr>
          <w:p>
            <w:pPr>
              <w:jc w:val="right"/>
              <w:ind w:right="188"/>
              <w:spacing w:after="0"/>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309,793</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ind w:right="328"/>
              <w:spacing w:after="0"/>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190,778</w:t>
            </w:r>
          </w:p>
        </w:tc>
      </w:tr>
      <w:tr>
        <w:trPr>
          <w:trHeight w:val="195"/>
        </w:trPr>
        <w:tc>
          <w:tcPr>
            <w:tcW w:w="826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Restricted cash</w:t>
            </w:r>
          </w:p>
        </w:tc>
        <w:tc>
          <w:tcPr>
            <w:tcW w:w="34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22,539</w:t>
            </w:r>
          </w:p>
        </w:tc>
        <w:tc>
          <w:tcPr>
            <w:tcW w:w="1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7,000</w:t>
            </w:r>
          </w:p>
        </w:tc>
      </w:tr>
      <w:tr>
        <w:trPr>
          <w:trHeight w:val="210"/>
        </w:trPr>
        <w:tc>
          <w:tcPr>
            <w:tcW w:w="82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Short-term deposits</w:t>
            </w:r>
          </w:p>
        </w:tc>
        <w:tc>
          <w:tcPr>
            <w:tcW w:w="3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4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5,020</w:t>
            </w:r>
          </w:p>
        </w:tc>
      </w:tr>
      <w:tr>
        <w:trPr>
          <w:trHeight w:val="195"/>
        </w:trPr>
        <w:tc>
          <w:tcPr>
            <w:tcW w:w="826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Fees receivable</w:t>
            </w:r>
          </w:p>
        </w:tc>
        <w:tc>
          <w:tcPr>
            <w:tcW w:w="34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59,219</w:t>
            </w:r>
          </w:p>
        </w:tc>
        <w:tc>
          <w:tcPr>
            <w:tcW w:w="1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32,332</w:t>
            </w:r>
          </w:p>
        </w:tc>
      </w:tr>
      <w:tr>
        <w:trPr>
          <w:trHeight w:val="210"/>
        </w:trPr>
        <w:tc>
          <w:tcPr>
            <w:tcW w:w="82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Investments in loans and securities</w:t>
            </w: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1,007</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5,142</w:t>
            </w:r>
          </w:p>
        </w:tc>
      </w:tr>
      <w:tr>
        <w:trPr>
          <w:trHeight w:val="196"/>
        </w:trPr>
        <w:tc>
          <w:tcPr>
            <w:tcW w:w="826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4"/>
                <w:szCs w:val="14"/>
                <w:color w:val="auto"/>
              </w:rPr>
              <w:t>Prepaid expenses and other current assets</w:t>
            </w:r>
          </w:p>
        </w:tc>
        <w:tc>
          <w:tcPr>
            <w:tcW w:w="34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27,258</w:t>
            </w:r>
          </w:p>
        </w:tc>
        <w:tc>
          <w:tcPr>
            <w:tcW w:w="100" w:type="dxa"/>
            <w:vAlign w:val="bottom"/>
            <w:tcBorders>
              <w:bottom w:val="single" w:sz="8" w:color="CCEEFF"/>
            </w:tcBorders>
          </w:tcPr>
          <w:p>
            <w:pPr>
              <w:spacing w:after="0"/>
              <w:rPr>
                <w:sz w:val="17"/>
                <w:szCs w:val="17"/>
                <w:color w:val="auto"/>
              </w:rPr>
            </w:pPr>
          </w:p>
        </w:tc>
        <w:tc>
          <w:tcPr>
            <w:tcW w:w="48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6,263</w:t>
            </w:r>
          </w:p>
        </w:tc>
      </w:tr>
      <w:tr>
        <w:trPr>
          <w:trHeight w:val="203"/>
        </w:trPr>
        <w:tc>
          <w:tcPr>
            <w:tcW w:w="826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4"/>
                <w:szCs w:val="14"/>
                <w:b w:val="1"/>
                <w:bCs w:val="1"/>
                <w:color w:val="auto"/>
              </w:rPr>
              <w:t>Total current assets</w:t>
            </w:r>
          </w:p>
        </w:tc>
        <w:tc>
          <w:tcPr>
            <w:tcW w:w="34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419,816</w:t>
            </w:r>
          </w:p>
        </w:tc>
        <w:tc>
          <w:tcPr>
            <w:tcW w:w="10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246,535</w:t>
            </w:r>
          </w:p>
        </w:tc>
      </w:tr>
      <w:tr>
        <w:trPr>
          <w:trHeight w:val="195"/>
        </w:trPr>
        <w:tc>
          <w:tcPr>
            <w:tcW w:w="82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Restricted cash</w:t>
            </w:r>
          </w:p>
        </w:tc>
        <w:tc>
          <w:tcPr>
            <w:tcW w:w="34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4,744</w:t>
            </w:r>
          </w:p>
        </w:tc>
        <w:tc>
          <w:tcPr>
            <w:tcW w:w="1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6,797</w:t>
            </w:r>
          </w:p>
        </w:tc>
      </w:tr>
      <w:tr>
        <w:trPr>
          <w:trHeight w:val="210"/>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Fees receivable</w:t>
            </w: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38,774</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19,208</w:t>
            </w:r>
          </w:p>
        </w:tc>
      </w:tr>
      <w:tr>
        <w:trPr>
          <w:trHeight w:val="195"/>
        </w:trPr>
        <w:tc>
          <w:tcPr>
            <w:tcW w:w="82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Investments in loans and securities</w:t>
            </w:r>
          </w:p>
        </w:tc>
        <w:tc>
          <w:tcPr>
            <w:tcW w:w="34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462,969</w:t>
            </w:r>
          </w:p>
        </w:tc>
        <w:tc>
          <w:tcPr>
            <w:tcW w:w="1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277,582</w:t>
            </w:r>
          </w:p>
        </w:tc>
      </w:tr>
      <w:tr>
        <w:trPr>
          <w:trHeight w:val="210"/>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Equity method and other investments</w:t>
            </w: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25,894</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14,841</w:t>
            </w:r>
          </w:p>
        </w:tc>
      </w:tr>
      <w:tr>
        <w:trPr>
          <w:trHeight w:val="195"/>
        </w:trPr>
        <w:tc>
          <w:tcPr>
            <w:tcW w:w="82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Right-of-use asset</w:t>
            </w:r>
          </w:p>
        </w:tc>
        <w:tc>
          <w:tcPr>
            <w:tcW w:w="34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61,077</w:t>
            </w:r>
          </w:p>
        </w:tc>
        <w:tc>
          <w:tcPr>
            <w:tcW w:w="1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210"/>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Property and equipment, net</w:t>
            </w: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31,663</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7,648</w:t>
            </w:r>
          </w:p>
        </w:tc>
      </w:tr>
      <w:tr>
        <w:trPr>
          <w:trHeight w:val="195"/>
        </w:trPr>
        <w:tc>
          <w:tcPr>
            <w:tcW w:w="82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Deferred tax assets, net</w:t>
            </w:r>
          </w:p>
        </w:tc>
        <w:tc>
          <w:tcPr>
            <w:tcW w:w="340" w:type="dxa"/>
            <w:vAlign w:val="bottom"/>
          </w:tcPr>
          <w:p>
            <w:pPr>
              <w:spacing w:after="0"/>
              <w:rPr>
                <w:sz w:val="16"/>
                <w:szCs w:val="16"/>
                <w:color w:val="auto"/>
              </w:rPr>
            </w:pP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48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5,681</w:t>
            </w:r>
          </w:p>
        </w:tc>
      </w:tr>
      <w:tr>
        <w:trPr>
          <w:trHeight w:val="210"/>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Deferred offering costs</w:t>
            </w:r>
          </w:p>
        </w:tc>
        <w:tc>
          <w:tcPr>
            <w:tcW w:w="3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4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11,966</w:t>
            </w:r>
          </w:p>
        </w:tc>
      </w:tr>
      <w:tr>
        <w:trPr>
          <w:trHeight w:val="196"/>
        </w:trPr>
        <w:tc>
          <w:tcPr>
            <w:tcW w:w="82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Prepaid expenses and other assets</w:t>
            </w:r>
          </w:p>
        </w:tc>
        <w:tc>
          <w:tcPr>
            <w:tcW w:w="34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142</w:t>
            </w:r>
          </w:p>
        </w:tc>
        <w:tc>
          <w:tcPr>
            <w:tcW w:w="100" w:type="dxa"/>
            <w:vAlign w:val="bottom"/>
            <w:tcBorders>
              <w:bottom w:val="single" w:sz="8" w:color="CCEEFF"/>
            </w:tcBorders>
          </w:tcPr>
          <w:p>
            <w:pPr>
              <w:spacing w:after="0"/>
              <w:rPr>
                <w:sz w:val="17"/>
                <w:szCs w:val="17"/>
                <w:color w:val="auto"/>
              </w:rPr>
            </w:pPr>
          </w:p>
        </w:tc>
        <w:tc>
          <w:tcPr>
            <w:tcW w:w="48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96"/>
        </w:trPr>
        <w:tc>
          <w:tcPr>
            <w:tcW w:w="826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4"/>
                <w:szCs w:val="14"/>
                <w:b w:val="1"/>
                <w:bCs w:val="1"/>
                <w:color w:val="auto"/>
              </w:rPr>
              <w:t>Total non-current assets</w:t>
            </w:r>
          </w:p>
        </w:tc>
        <w:tc>
          <w:tcPr>
            <w:tcW w:w="340" w:type="dxa"/>
            <w:vAlign w:val="bottom"/>
            <w:tcBorders>
              <w:bottom w:val="single" w:sz="8" w:color="auto"/>
            </w:tcBorders>
            <w:shd w:val="clear" w:color="auto" w:fill="CCEEFF"/>
          </w:tcPr>
          <w:p>
            <w:pPr>
              <w:spacing w:after="0"/>
              <w:rPr>
                <w:sz w:val="17"/>
                <w:szCs w:val="17"/>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625,263</w:t>
            </w:r>
          </w:p>
        </w:tc>
        <w:tc>
          <w:tcPr>
            <w:tcW w:w="100" w:type="dxa"/>
            <w:vAlign w:val="bottom"/>
            <w:shd w:val="clear" w:color="auto" w:fill="CCEEFF"/>
          </w:tcPr>
          <w:p>
            <w:pPr>
              <w:spacing w:after="0"/>
              <w:rPr>
                <w:sz w:val="17"/>
                <w:szCs w:val="17"/>
                <w:color w:val="auto"/>
              </w:rPr>
            </w:pPr>
          </w:p>
        </w:tc>
        <w:tc>
          <w:tcPr>
            <w:tcW w:w="480" w:type="dxa"/>
            <w:vAlign w:val="bottom"/>
            <w:tcBorders>
              <w:bottom w:val="single" w:sz="8" w:color="auto"/>
            </w:tcBorders>
            <w:shd w:val="clear" w:color="auto" w:fill="CCEEFF"/>
          </w:tcPr>
          <w:p>
            <w:pPr>
              <w:spacing w:after="0"/>
              <w:rPr>
                <w:sz w:val="17"/>
                <w:szCs w:val="17"/>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343,723</w:t>
            </w:r>
          </w:p>
        </w:tc>
      </w:tr>
      <w:tr>
        <w:trPr>
          <w:trHeight w:val="203"/>
        </w:trPr>
        <w:tc>
          <w:tcPr>
            <w:tcW w:w="826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Total Assets</w:t>
            </w:r>
          </w:p>
        </w:tc>
        <w:tc>
          <w:tcPr>
            <w:tcW w:w="340" w:type="dxa"/>
            <w:vAlign w:val="bottom"/>
            <w:tcBorders>
              <w:bottom w:val="single" w:sz="8" w:color="auto"/>
            </w:tcBorders>
          </w:tcPr>
          <w:p>
            <w:pPr>
              <w:jc w:val="right"/>
              <w:ind w:right="188"/>
              <w:spacing w:after="0"/>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1,045,079</w:t>
            </w:r>
          </w:p>
        </w:tc>
        <w:tc>
          <w:tcPr>
            <w:tcW w:w="100" w:type="dxa"/>
            <w:vAlign w:val="bottom"/>
          </w:tcPr>
          <w:p>
            <w:pPr>
              <w:spacing w:after="0"/>
              <w:rPr>
                <w:sz w:val="17"/>
                <w:szCs w:val="17"/>
                <w:color w:val="auto"/>
              </w:rPr>
            </w:pPr>
          </w:p>
        </w:tc>
        <w:tc>
          <w:tcPr>
            <w:tcW w:w="480" w:type="dxa"/>
            <w:vAlign w:val="bottom"/>
            <w:tcBorders>
              <w:bottom w:val="single" w:sz="8" w:color="auto"/>
            </w:tcBorders>
          </w:tcPr>
          <w:p>
            <w:pPr>
              <w:jc w:val="right"/>
              <w:ind w:right="328"/>
              <w:spacing w:after="0"/>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590,258</w:t>
            </w:r>
          </w:p>
        </w:tc>
      </w:tr>
      <w:tr>
        <w:trPr>
          <w:trHeight w:val="20"/>
        </w:trPr>
        <w:tc>
          <w:tcPr>
            <w:tcW w:w="826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r>
        <w:trPr>
          <w:trHeight w:val="170"/>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Liabilities, Redeemable convertible preferred shares, and Shareholders’ Equity</w:t>
            </w:r>
          </w:p>
        </w:tc>
        <w:tc>
          <w:tcPr>
            <w:tcW w:w="34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r>
      <w:tr>
        <w:trPr>
          <w:trHeight w:val="195"/>
        </w:trPr>
        <w:tc>
          <w:tcPr>
            <w:tcW w:w="82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Current liabilities:</w:t>
            </w:r>
          </w:p>
        </w:tc>
        <w:tc>
          <w:tcPr>
            <w:tcW w:w="3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960" w:type="dxa"/>
            <w:vAlign w:val="bottom"/>
          </w:tcPr>
          <w:p>
            <w:pPr>
              <w:spacing w:after="0"/>
              <w:rPr>
                <w:sz w:val="16"/>
                <w:szCs w:val="16"/>
                <w:color w:val="auto"/>
              </w:rPr>
            </w:pPr>
          </w:p>
        </w:tc>
      </w:tr>
      <w:tr>
        <w:trPr>
          <w:trHeight w:val="210"/>
        </w:trPr>
        <w:tc>
          <w:tcPr>
            <w:tcW w:w="82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Accounts payable</w:t>
            </w:r>
          </w:p>
        </w:tc>
        <w:tc>
          <w:tcPr>
            <w:tcW w:w="340" w:type="dxa"/>
            <w:vAlign w:val="bottom"/>
            <w:shd w:val="clear" w:color="auto" w:fill="CCEEFF"/>
          </w:tcPr>
          <w:p>
            <w:pPr>
              <w:jc w:val="right"/>
              <w:ind w:right="188"/>
              <w:spacing w:after="0"/>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1,739</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ind w:right="328"/>
              <w:spacing w:after="0"/>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11,580</w:t>
            </w:r>
          </w:p>
        </w:tc>
      </w:tr>
      <w:tr>
        <w:trPr>
          <w:trHeight w:val="195"/>
        </w:trPr>
        <w:tc>
          <w:tcPr>
            <w:tcW w:w="826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Accrued expenses and other liabilities</w:t>
            </w:r>
          </w:p>
        </w:tc>
        <w:tc>
          <w:tcPr>
            <w:tcW w:w="34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49,496</w:t>
            </w:r>
          </w:p>
        </w:tc>
        <w:tc>
          <w:tcPr>
            <w:tcW w:w="1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17,093</w:t>
            </w:r>
          </w:p>
        </w:tc>
      </w:tr>
      <w:tr>
        <w:trPr>
          <w:trHeight w:val="210"/>
        </w:trPr>
        <w:tc>
          <w:tcPr>
            <w:tcW w:w="82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Operating lease liability - current</w:t>
            </w: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8,530</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95"/>
        </w:trPr>
        <w:tc>
          <w:tcPr>
            <w:tcW w:w="826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Secured borrowing - current</w:t>
            </w:r>
          </w:p>
        </w:tc>
        <w:tc>
          <w:tcPr>
            <w:tcW w:w="34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61,829</w:t>
            </w:r>
          </w:p>
        </w:tc>
        <w:tc>
          <w:tcPr>
            <w:tcW w:w="1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210"/>
        </w:trPr>
        <w:tc>
          <w:tcPr>
            <w:tcW w:w="82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Income taxes payable - current</w:t>
            </w:r>
          </w:p>
        </w:tc>
        <w:tc>
          <w:tcPr>
            <w:tcW w:w="34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6,424</w:t>
            </w:r>
          </w:p>
        </w:tc>
        <w:tc>
          <w:tcPr>
            <w:tcW w:w="100" w:type="dxa"/>
            <w:vAlign w:val="bottom"/>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89"/>
        </w:trPr>
        <w:tc>
          <w:tcPr>
            <w:tcW w:w="8260" w:type="dxa"/>
            <w:vAlign w:val="bottom"/>
          </w:tcPr>
          <w:p>
            <w:pPr>
              <w:ind w:left="460"/>
              <w:spacing w:after="0"/>
              <w:rPr>
                <w:sz w:val="20"/>
                <w:szCs w:val="20"/>
                <w:color w:val="auto"/>
              </w:rPr>
            </w:pPr>
            <w:r>
              <w:rPr>
                <w:rFonts w:ascii="Times New Roman" w:cs="Times New Roman" w:eastAsia="Times New Roman" w:hAnsi="Times New Roman"/>
                <w:sz w:val="14"/>
                <w:szCs w:val="14"/>
                <w:b w:val="1"/>
                <w:bCs w:val="1"/>
                <w:color w:val="auto"/>
              </w:rPr>
              <w:t>Total current liabilities</w:t>
            </w:r>
          </w:p>
        </w:tc>
        <w:tc>
          <w:tcPr>
            <w:tcW w:w="34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128,018</w:t>
            </w:r>
          </w:p>
        </w:tc>
        <w:tc>
          <w:tcPr>
            <w:tcW w:w="1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28,673</w:t>
            </w:r>
          </w:p>
        </w:tc>
      </w:tr>
      <w:tr>
        <w:trPr>
          <w:trHeight w:val="210"/>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Non-current liabilities:</w:t>
            </w: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r>
      <w:tr>
        <w:trPr>
          <w:trHeight w:val="195"/>
        </w:trPr>
        <w:tc>
          <w:tcPr>
            <w:tcW w:w="826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Warrant liability</w:t>
            </w:r>
          </w:p>
        </w:tc>
        <w:tc>
          <w:tcPr>
            <w:tcW w:w="34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1,400</w:t>
            </w:r>
          </w:p>
        </w:tc>
        <w:tc>
          <w:tcPr>
            <w:tcW w:w="1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27,469</w:t>
            </w:r>
          </w:p>
        </w:tc>
      </w:tr>
      <w:tr>
        <w:trPr>
          <w:trHeight w:val="210"/>
        </w:trPr>
        <w:tc>
          <w:tcPr>
            <w:tcW w:w="82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Revolving credit facility</w:t>
            </w: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15,000</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95"/>
        </w:trPr>
        <w:tc>
          <w:tcPr>
            <w:tcW w:w="826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Secured borrowing - non-current</w:t>
            </w:r>
          </w:p>
        </w:tc>
        <w:tc>
          <w:tcPr>
            <w:tcW w:w="34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77,802</w:t>
            </w:r>
          </w:p>
        </w:tc>
        <w:tc>
          <w:tcPr>
            <w:tcW w:w="1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37,905</w:t>
            </w:r>
          </w:p>
        </w:tc>
      </w:tr>
      <w:tr>
        <w:trPr>
          <w:trHeight w:val="210"/>
        </w:trPr>
        <w:tc>
          <w:tcPr>
            <w:tcW w:w="82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Operating lease liability - non-current</w:t>
            </w: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49,097</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95"/>
        </w:trPr>
        <w:tc>
          <w:tcPr>
            <w:tcW w:w="826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Income taxes payable - non-current</w:t>
            </w:r>
          </w:p>
        </w:tc>
        <w:tc>
          <w:tcPr>
            <w:tcW w:w="34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7,771</w:t>
            </w:r>
          </w:p>
        </w:tc>
        <w:tc>
          <w:tcPr>
            <w:tcW w:w="1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11,812</w:t>
            </w:r>
          </w:p>
        </w:tc>
      </w:tr>
      <w:tr>
        <w:trPr>
          <w:trHeight w:val="210"/>
        </w:trPr>
        <w:tc>
          <w:tcPr>
            <w:tcW w:w="82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Deferred tax liabilities, net - non-current</w:t>
            </w:r>
          </w:p>
        </w:tc>
        <w:tc>
          <w:tcPr>
            <w:tcW w:w="34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568</w:t>
            </w:r>
          </w:p>
        </w:tc>
        <w:tc>
          <w:tcPr>
            <w:tcW w:w="100" w:type="dxa"/>
            <w:vAlign w:val="bottom"/>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90"/>
        </w:trPr>
        <w:tc>
          <w:tcPr>
            <w:tcW w:w="8260" w:type="dxa"/>
            <w:vAlign w:val="bottom"/>
            <w:tcBorders>
              <w:bottom w:val="single" w:sz="8" w:color="CCEEFF"/>
            </w:tcBorders>
          </w:tcPr>
          <w:p>
            <w:pPr>
              <w:ind w:left="460"/>
              <w:spacing w:after="0"/>
              <w:rPr>
                <w:sz w:val="20"/>
                <w:szCs w:val="20"/>
                <w:color w:val="auto"/>
              </w:rPr>
            </w:pPr>
            <w:r>
              <w:rPr>
                <w:rFonts w:ascii="Times New Roman" w:cs="Times New Roman" w:eastAsia="Times New Roman" w:hAnsi="Times New Roman"/>
                <w:sz w:val="14"/>
                <w:szCs w:val="14"/>
                <w:b w:val="1"/>
                <w:bCs w:val="1"/>
                <w:color w:val="auto"/>
              </w:rPr>
              <w:t>Total non-current liabilities</w:t>
            </w: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151,638</w:t>
            </w:r>
          </w:p>
        </w:tc>
        <w:tc>
          <w:tcPr>
            <w:tcW w:w="100" w:type="dxa"/>
            <w:vAlign w:val="bottom"/>
            <w:tcBorders>
              <w:bottom w:val="single" w:sz="8" w:color="CCEEFF"/>
            </w:tcBorders>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77,186</w:t>
            </w:r>
          </w:p>
        </w:tc>
      </w:tr>
      <w:tr>
        <w:trPr>
          <w:trHeight w:val="203"/>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Total liabilities</w:t>
            </w:r>
          </w:p>
        </w:tc>
        <w:tc>
          <w:tcPr>
            <w:tcW w:w="34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279,656</w:t>
            </w:r>
          </w:p>
        </w:tc>
        <w:tc>
          <w:tcPr>
            <w:tcW w:w="10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105,859</w:t>
            </w:r>
          </w:p>
        </w:tc>
      </w:tr>
      <w:tr>
        <w:trPr>
          <w:trHeight w:val="195"/>
        </w:trPr>
        <w:tc>
          <w:tcPr>
            <w:tcW w:w="826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Redeemable convertible preferred shares</w:t>
            </w:r>
          </w:p>
        </w:tc>
        <w:tc>
          <w:tcPr>
            <w:tcW w:w="340" w:type="dxa"/>
            <w:vAlign w:val="bottom"/>
          </w:tcPr>
          <w:p>
            <w:pPr>
              <w:spacing w:after="0"/>
              <w:rPr>
                <w:sz w:val="16"/>
                <w:szCs w:val="16"/>
                <w:color w:val="auto"/>
              </w:rPr>
            </w:pP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48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307,047</w:t>
            </w:r>
          </w:p>
        </w:tc>
      </w:tr>
      <w:tr>
        <w:trPr>
          <w:trHeight w:val="210"/>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Shareholders’ equity (deficit):</w:t>
            </w: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r>
      <w:tr>
        <w:trPr>
          <w:trHeight w:val="195"/>
        </w:trPr>
        <w:tc>
          <w:tcPr>
            <w:tcW w:w="826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Additional paid-in capital</w:t>
            </w:r>
          </w:p>
        </w:tc>
        <w:tc>
          <w:tcPr>
            <w:tcW w:w="34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968,432</w:t>
            </w:r>
          </w:p>
        </w:tc>
        <w:tc>
          <w:tcPr>
            <w:tcW w:w="1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113,170</w:t>
            </w:r>
          </w:p>
        </w:tc>
      </w:tr>
      <w:tr>
        <w:trPr>
          <w:trHeight w:val="210"/>
        </w:trPr>
        <w:tc>
          <w:tcPr>
            <w:tcW w:w="82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Accumulated other comprehensive income loss</w:t>
            </w: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(713)</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96"/>
        </w:trPr>
        <w:tc>
          <w:tcPr>
            <w:tcW w:w="826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4"/>
                <w:szCs w:val="14"/>
                <w:color w:val="auto"/>
              </w:rPr>
              <w:t>Accumulated deficit</w:t>
            </w:r>
          </w:p>
        </w:tc>
        <w:tc>
          <w:tcPr>
            <w:tcW w:w="34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(414,199)</w:t>
            </w:r>
          </w:p>
        </w:tc>
        <w:tc>
          <w:tcPr>
            <w:tcW w:w="100" w:type="dxa"/>
            <w:vAlign w:val="bottom"/>
            <w:tcBorders>
              <w:bottom w:val="single" w:sz="8" w:color="CCEEFF"/>
            </w:tcBorders>
          </w:tcPr>
          <w:p>
            <w:pPr>
              <w:spacing w:after="0"/>
              <w:rPr>
                <w:sz w:val="17"/>
                <w:szCs w:val="17"/>
                <w:color w:val="auto"/>
              </w:rPr>
            </w:pPr>
          </w:p>
        </w:tc>
        <w:tc>
          <w:tcPr>
            <w:tcW w:w="48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(111,878)</w:t>
            </w:r>
          </w:p>
        </w:tc>
      </w:tr>
      <w:tr>
        <w:trPr>
          <w:trHeight w:val="203"/>
        </w:trPr>
        <w:tc>
          <w:tcPr>
            <w:tcW w:w="82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4"/>
                <w:szCs w:val="14"/>
                <w:b w:val="1"/>
                <w:bCs w:val="1"/>
                <w:color w:val="auto"/>
              </w:rPr>
              <w:t>Total Pagaya Technologies Ltd. shareholders’ equity</w:t>
            </w:r>
          </w:p>
        </w:tc>
        <w:tc>
          <w:tcPr>
            <w:tcW w:w="34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553,520</w:t>
            </w:r>
          </w:p>
        </w:tc>
        <w:tc>
          <w:tcPr>
            <w:tcW w:w="10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1,292</w:t>
            </w:r>
          </w:p>
        </w:tc>
      </w:tr>
      <w:tr>
        <w:trPr>
          <w:trHeight w:val="196"/>
        </w:trPr>
        <w:tc>
          <w:tcPr>
            <w:tcW w:w="826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4"/>
                <w:szCs w:val="14"/>
                <w:color w:val="auto"/>
              </w:rPr>
              <w:t>Noncontrolling interests</w:t>
            </w:r>
          </w:p>
        </w:tc>
        <w:tc>
          <w:tcPr>
            <w:tcW w:w="34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211,903</w:t>
            </w:r>
          </w:p>
        </w:tc>
        <w:tc>
          <w:tcPr>
            <w:tcW w:w="100" w:type="dxa"/>
            <w:vAlign w:val="bottom"/>
            <w:tcBorders>
              <w:bottom w:val="single" w:sz="8" w:color="CCEEFF"/>
            </w:tcBorders>
          </w:tcPr>
          <w:p>
            <w:pPr>
              <w:spacing w:after="0"/>
              <w:rPr>
                <w:sz w:val="17"/>
                <w:szCs w:val="17"/>
                <w:color w:val="auto"/>
              </w:rPr>
            </w:pPr>
          </w:p>
        </w:tc>
        <w:tc>
          <w:tcPr>
            <w:tcW w:w="48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176,060</w:t>
            </w:r>
          </w:p>
        </w:tc>
      </w:tr>
      <w:tr>
        <w:trPr>
          <w:trHeight w:val="196"/>
        </w:trPr>
        <w:tc>
          <w:tcPr>
            <w:tcW w:w="82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4"/>
                <w:szCs w:val="14"/>
                <w:b w:val="1"/>
                <w:bCs w:val="1"/>
                <w:color w:val="auto"/>
              </w:rPr>
              <w:t>Total shareholders’ equity</w:t>
            </w:r>
          </w:p>
        </w:tc>
        <w:tc>
          <w:tcPr>
            <w:tcW w:w="340" w:type="dxa"/>
            <w:vAlign w:val="bottom"/>
            <w:tcBorders>
              <w:bottom w:val="single" w:sz="8" w:color="auto"/>
            </w:tcBorders>
            <w:shd w:val="clear" w:color="auto" w:fill="CCEEFF"/>
          </w:tcPr>
          <w:p>
            <w:pPr>
              <w:spacing w:after="0"/>
              <w:rPr>
                <w:sz w:val="17"/>
                <w:szCs w:val="17"/>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765,423</w:t>
            </w:r>
          </w:p>
        </w:tc>
        <w:tc>
          <w:tcPr>
            <w:tcW w:w="100" w:type="dxa"/>
            <w:vAlign w:val="bottom"/>
            <w:shd w:val="clear" w:color="auto" w:fill="CCEEFF"/>
          </w:tcPr>
          <w:p>
            <w:pPr>
              <w:spacing w:after="0"/>
              <w:rPr>
                <w:sz w:val="17"/>
                <w:szCs w:val="17"/>
                <w:color w:val="auto"/>
              </w:rPr>
            </w:pPr>
          </w:p>
        </w:tc>
        <w:tc>
          <w:tcPr>
            <w:tcW w:w="480" w:type="dxa"/>
            <w:vAlign w:val="bottom"/>
            <w:tcBorders>
              <w:bottom w:val="single" w:sz="8" w:color="auto"/>
            </w:tcBorders>
            <w:shd w:val="clear" w:color="auto" w:fill="CCEEFF"/>
          </w:tcPr>
          <w:p>
            <w:pPr>
              <w:spacing w:after="0"/>
              <w:rPr>
                <w:sz w:val="17"/>
                <w:szCs w:val="17"/>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177,352</w:t>
            </w:r>
          </w:p>
        </w:tc>
      </w:tr>
      <w:tr>
        <w:trPr>
          <w:trHeight w:val="203"/>
        </w:trPr>
        <w:tc>
          <w:tcPr>
            <w:tcW w:w="8260" w:type="dxa"/>
            <w:vAlign w:val="bottom"/>
          </w:tcPr>
          <w:p>
            <w:pPr>
              <w:ind w:left="140"/>
              <w:spacing w:after="0"/>
              <w:rPr>
                <w:sz w:val="20"/>
                <w:szCs w:val="20"/>
                <w:color w:val="auto"/>
              </w:rPr>
            </w:pPr>
            <w:r>
              <w:rPr>
                <w:rFonts w:ascii="Times New Roman" w:cs="Times New Roman" w:eastAsia="Times New Roman" w:hAnsi="Times New Roman"/>
                <w:sz w:val="14"/>
                <w:szCs w:val="14"/>
                <w:b w:val="1"/>
                <w:bCs w:val="1"/>
                <w:color w:val="auto"/>
              </w:rPr>
              <w:t>Total Liabilities, Redeemable Convertible Preferred Shares and Shareholders’ Equity</w:t>
            </w:r>
          </w:p>
        </w:tc>
        <w:tc>
          <w:tcPr>
            <w:tcW w:w="340" w:type="dxa"/>
            <w:vAlign w:val="bottom"/>
            <w:tcBorders>
              <w:bottom w:val="single" w:sz="8" w:color="auto"/>
            </w:tcBorders>
          </w:tcPr>
          <w:p>
            <w:pPr>
              <w:jc w:val="right"/>
              <w:ind w:right="188"/>
              <w:spacing w:after="0"/>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1,045,079</w:t>
            </w:r>
          </w:p>
        </w:tc>
        <w:tc>
          <w:tcPr>
            <w:tcW w:w="100" w:type="dxa"/>
            <w:vAlign w:val="bottom"/>
          </w:tcPr>
          <w:p>
            <w:pPr>
              <w:spacing w:after="0"/>
              <w:rPr>
                <w:sz w:val="17"/>
                <w:szCs w:val="17"/>
                <w:color w:val="auto"/>
              </w:rPr>
            </w:pPr>
          </w:p>
        </w:tc>
        <w:tc>
          <w:tcPr>
            <w:tcW w:w="480" w:type="dxa"/>
            <w:vAlign w:val="bottom"/>
            <w:tcBorders>
              <w:bottom w:val="single" w:sz="8" w:color="auto"/>
            </w:tcBorders>
          </w:tcPr>
          <w:p>
            <w:pPr>
              <w:jc w:val="right"/>
              <w:ind w:right="328"/>
              <w:spacing w:after="0"/>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590,258</w:t>
            </w:r>
          </w:p>
        </w:tc>
      </w:tr>
      <w:tr>
        <w:trPr>
          <w:trHeight w:val="20"/>
        </w:trPr>
        <w:tc>
          <w:tcPr>
            <w:tcW w:w="82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ectPr>
          <w:pgSz w:w="11900" w:h="16838" w:orient="portrait"/>
          <w:cols w:equalWidth="0" w:num="1">
            <w:col w:w="11240"/>
          </w:cols>
          <w:pgMar w:left="320" w:top="1406" w:right="3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6"/>
          <w:szCs w:val="16"/>
          <w:b w:val="1"/>
          <w:bCs w:val="1"/>
          <w:color w:val="auto"/>
        </w:rPr>
        <w:t>PAGAYA TECHNOLOGIES LTD.</w:t>
      </w:r>
    </w:p>
    <w:p>
      <w:pPr>
        <w:spacing w:after="0" w:line="1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CONSOLIDATED STATEMENTS OF CASH FLOWS (UNAUDITED)</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(In thousands)</w:t>
      </w:r>
    </w:p>
    <w:p>
      <w:pPr>
        <w:spacing w:after="0" w:line="17"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2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440" w:type="dxa"/>
            <w:vAlign w:val="bottom"/>
            <w:gridSpan w:val="4"/>
          </w:tcPr>
          <w:p>
            <w:pPr>
              <w:jc w:val="right"/>
              <w:ind w:right="508"/>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r>
      <w:tr>
        <w:trPr>
          <w:trHeight w:val="23"/>
        </w:trPr>
        <w:tc>
          <w:tcPr>
            <w:tcW w:w="826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190"/>
        </w:trPr>
        <w:tc>
          <w:tcPr>
            <w:tcW w:w="826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448"/>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448"/>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182"/>
        </w:trPr>
        <w:tc>
          <w:tcPr>
            <w:tcW w:w="82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Cash flows from operating activities</w:t>
            </w:r>
          </w:p>
        </w:tc>
        <w:tc>
          <w:tcPr>
            <w:tcW w:w="300" w:type="dxa"/>
            <w:vAlign w:val="bottom"/>
            <w:tcBorders>
              <w:bottom w:val="single" w:sz="8" w:color="CCEEFF"/>
            </w:tcBorders>
            <w:shd w:val="clear" w:color="auto" w:fill="CCEEFF"/>
          </w:tcPr>
          <w:p>
            <w:pPr>
              <w:spacing w:after="0"/>
              <w:rPr>
                <w:sz w:val="15"/>
                <w:szCs w:val="15"/>
                <w:color w:val="auto"/>
              </w:rPr>
            </w:pPr>
          </w:p>
        </w:tc>
        <w:tc>
          <w:tcPr>
            <w:tcW w:w="102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300" w:type="dxa"/>
            <w:vAlign w:val="bottom"/>
            <w:tcBorders>
              <w:bottom w:val="single" w:sz="8" w:color="CCEEFF"/>
            </w:tcBorders>
            <w:shd w:val="clear" w:color="auto" w:fill="CCEEFF"/>
          </w:tcPr>
          <w:p>
            <w:pPr>
              <w:spacing w:after="0"/>
              <w:rPr>
                <w:sz w:val="15"/>
                <w:szCs w:val="15"/>
                <w:color w:val="auto"/>
              </w:rPr>
            </w:pPr>
          </w:p>
        </w:tc>
        <w:tc>
          <w:tcPr>
            <w:tcW w:w="1020" w:type="dxa"/>
            <w:vAlign w:val="bottom"/>
            <w:tcBorders>
              <w:bottom w:val="single" w:sz="8" w:color="CCEEFF"/>
            </w:tcBorders>
            <w:shd w:val="clear" w:color="auto" w:fill="CCEEFF"/>
          </w:tcPr>
          <w:p>
            <w:pPr>
              <w:spacing w:after="0"/>
              <w:rPr>
                <w:sz w:val="15"/>
                <w:szCs w:val="15"/>
                <w:color w:val="auto"/>
              </w:rPr>
            </w:pPr>
          </w:p>
        </w:tc>
      </w:tr>
      <w:tr>
        <w:trPr>
          <w:trHeight w:val="195"/>
        </w:trPr>
        <w:tc>
          <w:tcPr>
            <w:tcW w:w="826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Net loss including noncontrolling interests</w:t>
            </w:r>
          </w:p>
        </w:tc>
        <w:tc>
          <w:tcPr>
            <w:tcW w:w="300" w:type="dxa"/>
            <w:vAlign w:val="bottom"/>
          </w:tcPr>
          <w:p>
            <w:pPr>
              <w:jc w:val="right"/>
              <w:ind w:right="148"/>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(292,774)</w:t>
            </w:r>
          </w:p>
        </w:tc>
        <w:tc>
          <w:tcPr>
            <w:tcW w:w="100" w:type="dxa"/>
            <w:vAlign w:val="bottom"/>
          </w:tcPr>
          <w:p>
            <w:pPr>
              <w:spacing w:after="0"/>
              <w:rPr>
                <w:sz w:val="16"/>
                <w:szCs w:val="16"/>
                <w:color w:val="auto"/>
              </w:rPr>
            </w:pPr>
          </w:p>
        </w:tc>
        <w:tc>
          <w:tcPr>
            <w:tcW w:w="300" w:type="dxa"/>
            <w:vAlign w:val="bottom"/>
          </w:tcPr>
          <w:p>
            <w:pPr>
              <w:jc w:val="right"/>
              <w:ind w:right="148"/>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(69,523)</w:t>
            </w:r>
          </w:p>
        </w:tc>
      </w:tr>
      <w:tr>
        <w:trPr>
          <w:trHeight w:val="210"/>
        </w:trPr>
        <w:tc>
          <w:tcPr>
            <w:tcW w:w="82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Adjustments to reconcile net income (loss) to net cash used in operating activities:</w:t>
            </w: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r>
      <w:tr>
        <w:trPr>
          <w:trHeight w:val="195"/>
        </w:trPr>
        <w:tc>
          <w:tcPr>
            <w:tcW w:w="826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Equity method income (loss)</w:t>
            </w:r>
          </w:p>
        </w:tc>
        <w:tc>
          <w:tcPr>
            <w:tcW w:w="3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(5,756)</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155</w:t>
            </w:r>
          </w:p>
        </w:tc>
      </w:tr>
      <w:tr>
        <w:trPr>
          <w:trHeight w:val="210"/>
        </w:trPr>
        <w:tc>
          <w:tcPr>
            <w:tcW w:w="82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Loss on sale of equity method investments</w:t>
            </w:r>
          </w:p>
        </w:tc>
        <w:tc>
          <w:tcPr>
            <w:tcW w:w="3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421</w:t>
            </w:r>
          </w:p>
        </w:tc>
      </w:tr>
      <w:tr>
        <w:trPr>
          <w:trHeight w:val="195"/>
        </w:trPr>
        <w:tc>
          <w:tcPr>
            <w:tcW w:w="826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Depreciation and amortization</w:t>
            </w:r>
          </w:p>
        </w:tc>
        <w:tc>
          <w:tcPr>
            <w:tcW w:w="3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6,294</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815</w:t>
            </w:r>
          </w:p>
        </w:tc>
      </w:tr>
      <w:tr>
        <w:trPr>
          <w:trHeight w:val="210"/>
        </w:trPr>
        <w:tc>
          <w:tcPr>
            <w:tcW w:w="82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Share-based compensation</w:t>
            </w: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241,689</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67,785</w:t>
            </w:r>
          </w:p>
        </w:tc>
      </w:tr>
      <w:tr>
        <w:trPr>
          <w:trHeight w:val="195"/>
        </w:trPr>
        <w:tc>
          <w:tcPr>
            <w:tcW w:w="826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Fair value adjustment to warrant liability</w:t>
            </w:r>
          </w:p>
        </w:tc>
        <w:tc>
          <w:tcPr>
            <w:tcW w:w="3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(11,088)</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53,019</w:t>
            </w:r>
          </w:p>
        </w:tc>
      </w:tr>
      <w:tr>
        <w:trPr>
          <w:trHeight w:val="210"/>
        </w:trPr>
        <w:tc>
          <w:tcPr>
            <w:tcW w:w="82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Issuance of ordinary shares related to commitment shares</w:t>
            </w: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1,000</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95"/>
        </w:trPr>
        <w:tc>
          <w:tcPr>
            <w:tcW w:w="826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Loss on investments in loans and securities</w:t>
            </w:r>
          </w:p>
        </w:tc>
        <w:tc>
          <w:tcPr>
            <w:tcW w:w="3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15,007</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210"/>
        </w:trPr>
        <w:tc>
          <w:tcPr>
            <w:tcW w:w="82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Loss on loans held-for-investment</w:t>
            </w: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10,651</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95"/>
        </w:trPr>
        <w:tc>
          <w:tcPr>
            <w:tcW w:w="826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Other than temporary impairment of investments in loans and securities</w:t>
            </w:r>
          </w:p>
        </w:tc>
        <w:tc>
          <w:tcPr>
            <w:tcW w:w="3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33,704</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210"/>
        </w:trPr>
        <w:tc>
          <w:tcPr>
            <w:tcW w:w="82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Impairment of goodwill and other intangible assets</w:t>
            </w: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3,209</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95"/>
        </w:trPr>
        <w:tc>
          <w:tcPr>
            <w:tcW w:w="826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Change in operating assets and liabilities:</w:t>
            </w:r>
          </w:p>
        </w:tc>
        <w:tc>
          <w:tcPr>
            <w:tcW w:w="3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spacing w:after="0"/>
              <w:rPr>
                <w:sz w:val="16"/>
                <w:szCs w:val="16"/>
                <w:color w:val="auto"/>
              </w:rPr>
            </w:pPr>
          </w:p>
        </w:tc>
      </w:tr>
      <w:tr>
        <w:trPr>
          <w:trHeight w:val="210"/>
        </w:trPr>
        <w:tc>
          <w:tcPr>
            <w:tcW w:w="826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4"/>
                <w:szCs w:val="14"/>
                <w:color w:val="auto"/>
              </w:rPr>
              <w:t>Fees and other receivables</w:t>
            </w: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(46,453)</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(27,555)</w:t>
            </w:r>
          </w:p>
        </w:tc>
      </w:tr>
      <w:tr>
        <w:trPr>
          <w:trHeight w:val="195"/>
        </w:trPr>
        <w:tc>
          <w:tcPr>
            <w:tcW w:w="8260" w:type="dxa"/>
            <w:vAlign w:val="bottom"/>
          </w:tcPr>
          <w:p>
            <w:pPr>
              <w:ind w:left="460"/>
              <w:spacing w:after="0"/>
              <w:rPr>
                <w:sz w:val="20"/>
                <w:szCs w:val="20"/>
                <w:color w:val="auto"/>
              </w:rPr>
            </w:pPr>
            <w:r>
              <w:rPr>
                <w:rFonts w:ascii="Times New Roman" w:cs="Times New Roman" w:eastAsia="Times New Roman" w:hAnsi="Times New Roman"/>
                <w:sz w:val="14"/>
                <w:szCs w:val="14"/>
                <w:color w:val="auto"/>
              </w:rPr>
              <w:t>Deferred tax assets, net</w:t>
            </w:r>
          </w:p>
        </w:tc>
        <w:tc>
          <w:tcPr>
            <w:tcW w:w="3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5,681</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(3,378)</w:t>
            </w:r>
          </w:p>
        </w:tc>
      </w:tr>
      <w:tr>
        <w:trPr>
          <w:trHeight w:val="210"/>
        </w:trPr>
        <w:tc>
          <w:tcPr>
            <w:tcW w:w="826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4"/>
                <w:szCs w:val="14"/>
                <w:color w:val="auto"/>
              </w:rPr>
              <w:t>Deferred tax liabilities, net</w:t>
            </w: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568</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95"/>
        </w:trPr>
        <w:tc>
          <w:tcPr>
            <w:tcW w:w="8260" w:type="dxa"/>
            <w:vAlign w:val="bottom"/>
          </w:tcPr>
          <w:p>
            <w:pPr>
              <w:ind w:left="460"/>
              <w:spacing w:after="0"/>
              <w:rPr>
                <w:sz w:val="20"/>
                <w:szCs w:val="20"/>
                <w:color w:val="auto"/>
              </w:rPr>
            </w:pPr>
            <w:r>
              <w:rPr>
                <w:rFonts w:ascii="Times New Roman" w:cs="Times New Roman" w:eastAsia="Times New Roman" w:hAnsi="Times New Roman"/>
                <w:sz w:val="14"/>
                <w:szCs w:val="14"/>
                <w:color w:val="auto"/>
              </w:rPr>
              <w:t>Prepaid expenses and other assets</w:t>
            </w:r>
          </w:p>
        </w:tc>
        <w:tc>
          <w:tcPr>
            <w:tcW w:w="3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(23,227)</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(4,738)</w:t>
            </w:r>
          </w:p>
        </w:tc>
      </w:tr>
      <w:tr>
        <w:trPr>
          <w:trHeight w:val="210"/>
        </w:trPr>
        <w:tc>
          <w:tcPr>
            <w:tcW w:w="826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4"/>
                <w:szCs w:val="14"/>
                <w:color w:val="auto"/>
              </w:rPr>
              <w:t>Right-of-use asset</w:t>
            </w: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7,742</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95"/>
        </w:trPr>
        <w:tc>
          <w:tcPr>
            <w:tcW w:w="8260" w:type="dxa"/>
            <w:vAlign w:val="bottom"/>
          </w:tcPr>
          <w:p>
            <w:pPr>
              <w:ind w:left="460"/>
              <w:spacing w:after="0"/>
              <w:rPr>
                <w:sz w:val="20"/>
                <w:szCs w:val="20"/>
                <w:color w:val="auto"/>
              </w:rPr>
            </w:pPr>
            <w:r>
              <w:rPr>
                <w:rFonts w:ascii="Times New Roman" w:cs="Times New Roman" w:eastAsia="Times New Roman" w:hAnsi="Times New Roman"/>
                <w:sz w:val="14"/>
                <w:szCs w:val="14"/>
                <w:color w:val="auto"/>
              </w:rPr>
              <w:t>Accounts payable</w:t>
            </w:r>
          </w:p>
        </w:tc>
        <w:tc>
          <w:tcPr>
            <w:tcW w:w="3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(9,841)</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10,999</w:t>
            </w:r>
          </w:p>
        </w:tc>
      </w:tr>
      <w:tr>
        <w:trPr>
          <w:trHeight w:val="210"/>
        </w:trPr>
        <w:tc>
          <w:tcPr>
            <w:tcW w:w="826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4"/>
                <w:szCs w:val="14"/>
                <w:color w:val="auto"/>
              </w:rPr>
              <w:t>Accrued expenses and other liabilities</w:t>
            </w: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32,403</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13,407</w:t>
            </w:r>
          </w:p>
        </w:tc>
      </w:tr>
      <w:tr>
        <w:trPr>
          <w:trHeight w:val="195"/>
        </w:trPr>
        <w:tc>
          <w:tcPr>
            <w:tcW w:w="8260" w:type="dxa"/>
            <w:vAlign w:val="bottom"/>
          </w:tcPr>
          <w:p>
            <w:pPr>
              <w:ind w:left="460"/>
              <w:spacing w:after="0"/>
              <w:rPr>
                <w:sz w:val="20"/>
                <w:szCs w:val="20"/>
                <w:color w:val="auto"/>
              </w:rPr>
            </w:pPr>
            <w:r>
              <w:rPr>
                <w:rFonts w:ascii="Times New Roman" w:cs="Times New Roman" w:eastAsia="Times New Roman" w:hAnsi="Times New Roman"/>
                <w:sz w:val="14"/>
                <w:szCs w:val="14"/>
                <w:color w:val="auto"/>
              </w:rPr>
              <w:t>Operating lease liability</w:t>
            </w:r>
          </w:p>
        </w:tc>
        <w:tc>
          <w:tcPr>
            <w:tcW w:w="3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(11,192)</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210"/>
        </w:trPr>
        <w:tc>
          <w:tcPr>
            <w:tcW w:w="826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4"/>
                <w:szCs w:val="14"/>
                <w:color w:val="auto"/>
              </w:rPr>
              <w:t>Income tax payable</w:t>
            </w:r>
          </w:p>
        </w:tc>
        <w:tc>
          <w:tcPr>
            <w:tcW w:w="30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2,383</w:t>
            </w:r>
          </w:p>
        </w:tc>
        <w:tc>
          <w:tcPr>
            <w:tcW w:w="10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8,404</w:t>
            </w:r>
          </w:p>
        </w:tc>
      </w:tr>
      <w:tr>
        <w:trPr>
          <w:trHeight w:val="190"/>
        </w:trPr>
        <w:tc>
          <w:tcPr>
            <w:tcW w:w="82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Net cash (used in) provided by operating activities</w:t>
            </w:r>
          </w:p>
        </w:tc>
        <w:tc>
          <w:tcPr>
            <w:tcW w:w="3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(40,000)</w:t>
            </w:r>
          </w:p>
        </w:tc>
        <w:tc>
          <w:tcPr>
            <w:tcW w:w="1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49,811</w:t>
            </w:r>
          </w:p>
        </w:tc>
      </w:tr>
      <w:tr>
        <w:trPr>
          <w:trHeight w:val="189"/>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Cash flows from investing activities</w:t>
            </w:r>
          </w:p>
        </w:tc>
        <w:tc>
          <w:tcPr>
            <w:tcW w:w="30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r>
      <w:tr>
        <w:trPr>
          <w:trHeight w:val="195"/>
        </w:trPr>
        <w:tc>
          <w:tcPr>
            <w:tcW w:w="82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Proceeds from the sale/maturity/prepayment of:</w:t>
            </w:r>
          </w:p>
        </w:tc>
        <w:tc>
          <w:tcPr>
            <w:tcW w:w="3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spacing w:after="0"/>
              <w:rPr>
                <w:sz w:val="16"/>
                <w:szCs w:val="16"/>
                <w:color w:val="auto"/>
              </w:rPr>
            </w:pPr>
          </w:p>
        </w:tc>
      </w:tr>
      <w:tr>
        <w:trPr>
          <w:trHeight w:val="210"/>
        </w:trPr>
        <w:tc>
          <w:tcPr>
            <w:tcW w:w="82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Investments in loans and securities</w:t>
            </w: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112,897</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28,904</w:t>
            </w:r>
          </w:p>
        </w:tc>
      </w:tr>
      <w:tr>
        <w:trPr>
          <w:trHeight w:val="195"/>
        </w:trPr>
        <w:tc>
          <w:tcPr>
            <w:tcW w:w="826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Short-term deposits</w:t>
            </w:r>
          </w:p>
        </w:tc>
        <w:tc>
          <w:tcPr>
            <w:tcW w:w="3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5,020</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53,412</w:t>
            </w:r>
          </w:p>
        </w:tc>
      </w:tr>
      <w:tr>
        <w:trPr>
          <w:trHeight w:val="210"/>
        </w:trPr>
        <w:tc>
          <w:tcPr>
            <w:tcW w:w="82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Equity method and other investments</w:t>
            </w: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453</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8,925</w:t>
            </w:r>
          </w:p>
        </w:tc>
      </w:tr>
      <w:tr>
        <w:trPr>
          <w:trHeight w:val="195"/>
        </w:trPr>
        <w:tc>
          <w:tcPr>
            <w:tcW w:w="82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Payments for the purchase of:</w:t>
            </w:r>
          </w:p>
        </w:tc>
        <w:tc>
          <w:tcPr>
            <w:tcW w:w="3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spacing w:after="0"/>
              <w:rPr>
                <w:sz w:val="16"/>
                <w:szCs w:val="16"/>
                <w:color w:val="auto"/>
              </w:rPr>
            </w:pPr>
          </w:p>
        </w:tc>
      </w:tr>
      <w:tr>
        <w:trPr>
          <w:trHeight w:val="210"/>
        </w:trPr>
        <w:tc>
          <w:tcPr>
            <w:tcW w:w="82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Investments in loans and securities</w:t>
            </w: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(355,633)</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(202,366)</w:t>
            </w:r>
          </w:p>
        </w:tc>
      </w:tr>
      <w:tr>
        <w:trPr>
          <w:trHeight w:val="195"/>
        </w:trPr>
        <w:tc>
          <w:tcPr>
            <w:tcW w:w="826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Property and equipment</w:t>
            </w:r>
          </w:p>
        </w:tc>
        <w:tc>
          <w:tcPr>
            <w:tcW w:w="3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(22,406)</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(6,624)</w:t>
            </w:r>
          </w:p>
        </w:tc>
      </w:tr>
      <w:tr>
        <w:trPr>
          <w:trHeight w:val="210"/>
        </w:trPr>
        <w:tc>
          <w:tcPr>
            <w:tcW w:w="82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Equity method and other investments</w:t>
            </w:r>
          </w:p>
        </w:tc>
        <w:tc>
          <w:tcPr>
            <w:tcW w:w="30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(5,750)</w:t>
            </w:r>
          </w:p>
        </w:tc>
        <w:tc>
          <w:tcPr>
            <w:tcW w:w="10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(22,991)</w:t>
            </w:r>
          </w:p>
        </w:tc>
      </w:tr>
      <w:tr>
        <w:trPr>
          <w:trHeight w:val="190"/>
        </w:trPr>
        <w:tc>
          <w:tcPr>
            <w:tcW w:w="82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Net cash used in investing activities</w:t>
            </w:r>
          </w:p>
        </w:tc>
        <w:tc>
          <w:tcPr>
            <w:tcW w:w="3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(265,419)</w:t>
            </w:r>
          </w:p>
        </w:tc>
        <w:tc>
          <w:tcPr>
            <w:tcW w:w="1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(140,740)</w:t>
            </w:r>
          </w:p>
        </w:tc>
      </w:tr>
      <w:tr>
        <w:trPr>
          <w:trHeight w:val="189"/>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Cash flows from financing activities</w:t>
            </w:r>
          </w:p>
        </w:tc>
        <w:tc>
          <w:tcPr>
            <w:tcW w:w="30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r>
      <w:tr>
        <w:trPr>
          <w:trHeight w:val="195"/>
        </w:trPr>
        <w:tc>
          <w:tcPr>
            <w:tcW w:w="826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Proceeds from sale of ordinary shares in connection with the Business Combination and PIPE Investment, net of issuance costs</w:t>
            </w:r>
          </w:p>
        </w:tc>
        <w:tc>
          <w:tcPr>
            <w:tcW w:w="3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291,872</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210"/>
        </w:trPr>
        <w:tc>
          <w:tcPr>
            <w:tcW w:w="82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Proceeds from issuance of redeemable convertible preferred shares, net</w:t>
            </w:r>
          </w:p>
        </w:tc>
        <w:tc>
          <w:tcPr>
            <w:tcW w:w="3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172,645</w:t>
            </w:r>
          </w:p>
        </w:tc>
      </w:tr>
      <w:tr>
        <w:trPr>
          <w:trHeight w:val="195"/>
        </w:trPr>
        <w:tc>
          <w:tcPr>
            <w:tcW w:w="826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Proceeds from issuance of ordinary share warrants, net</w:t>
            </w:r>
          </w:p>
        </w:tc>
        <w:tc>
          <w:tcPr>
            <w:tcW w:w="300" w:type="dxa"/>
            <w:vAlign w:val="bottom"/>
          </w:tcPr>
          <w:p>
            <w:pPr>
              <w:spacing w:after="0"/>
              <w:rPr>
                <w:sz w:val="16"/>
                <w:szCs w:val="16"/>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20,807</w:t>
            </w:r>
          </w:p>
        </w:tc>
      </w:tr>
      <w:tr>
        <w:trPr>
          <w:trHeight w:val="210"/>
        </w:trPr>
        <w:tc>
          <w:tcPr>
            <w:tcW w:w="82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Proceeds from secured borrowing</w:t>
            </w: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139,413</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37,905</w:t>
            </w:r>
          </w:p>
        </w:tc>
      </w:tr>
      <w:tr>
        <w:trPr>
          <w:trHeight w:val="195"/>
        </w:trPr>
        <w:tc>
          <w:tcPr>
            <w:tcW w:w="826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Proceeds received from noncontrolling interests</w:t>
            </w:r>
          </w:p>
        </w:tc>
        <w:tc>
          <w:tcPr>
            <w:tcW w:w="3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105,469</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151,035</w:t>
            </w:r>
          </w:p>
        </w:tc>
      </w:tr>
      <w:tr>
        <w:trPr>
          <w:trHeight w:val="210"/>
        </w:trPr>
        <w:tc>
          <w:tcPr>
            <w:tcW w:w="82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Proceeds from revolving credit facility</w:t>
            </w: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42,100</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95"/>
        </w:trPr>
        <w:tc>
          <w:tcPr>
            <w:tcW w:w="826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Proceeds from exercise of stock options</w:t>
            </w:r>
          </w:p>
        </w:tc>
        <w:tc>
          <w:tcPr>
            <w:tcW w:w="3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1,617</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346</w:t>
            </w:r>
          </w:p>
        </w:tc>
      </w:tr>
      <w:tr>
        <w:trPr>
          <w:trHeight w:val="210"/>
        </w:trPr>
        <w:tc>
          <w:tcPr>
            <w:tcW w:w="82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Proceeds from exercise of redeemable convertible preferred shares warrants</w:t>
            </w:r>
          </w:p>
        </w:tc>
        <w:tc>
          <w:tcPr>
            <w:tcW w:w="3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400</w:t>
            </w:r>
          </w:p>
        </w:tc>
      </w:tr>
      <w:tr>
        <w:trPr>
          <w:trHeight w:val="195"/>
        </w:trPr>
        <w:tc>
          <w:tcPr>
            <w:tcW w:w="826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Distribution made to noncontrolling interests</w:t>
            </w:r>
          </w:p>
        </w:tc>
        <w:tc>
          <w:tcPr>
            <w:tcW w:w="3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(77,764)</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(81,548)</w:t>
            </w:r>
          </w:p>
        </w:tc>
      </w:tr>
      <w:tr>
        <w:trPr>
          <w:trHeight w:val="210"/>
        </w:trPr>
        <w:tc>
          <w:tcPr>
            <w:tcW w:w="82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Distribution made to revolving credit facility</w:t>
            </w: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(27,100)</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95"/>
        </w:trPr>
        <w:tc>
          <w:tcPr>
            <w:tcW w:w="826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Distribution made to secured borrowing</w:t>
            </w:r>
          </w:p>
        </w:tc>
        <w:tc>
          <w:tcPr>
            <w:tcW w:w="3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(37,687)</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210"/>
        </w:trPr>
        <w:tc>
          <w:tcPr>
            <w:tcW w:w="82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Payment for deferred offering costs</w:t>
            </w:r>
          </w:p>
        </w:tc>
        <w:tc>
          <w:tcPr>
            <w:tcW w:w="3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(11,966)</w:t>
            </w:r>
          </w:p>
        </w:tc>
      </w:tr>
      <w:tr>
        <w:trPr>
          <w:trHeight w:val="189"/>
        </w:trPr>
        <w:tc>
          <w:tcPr>
            <w:tcW w:w="82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Net cash provided by financing activities</w:t>
            </w:r>
          </w:p>
        </w:tc>
        <w:tc>
          <w:tcPr>
            <w:tcW w:w="300" w:type="dxa"/>
            <w:vAlign w:val="bottom"/>
            <w:tcBorders>
              <w:top w:val="single" w:sz="8" w:color="auto"/>
              <w:bottom w:val="single" w:sz="8" w:color="auto"/>
            </w:tcBorders>
          </w:tcPr>
          <w:p>
            <w:pPr>
              <w:spacing w:after="0"/>
              <w:rPr>
                <w:sz w:val="16"/>
                <w:szCs w:val="16"/>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437,920</w:t>
            </w:r>
          </w:p>
        </w:tc>
        <w:tc>
          <w:tcPr>
            <w:tcW w:w="100" w:type="dxa"/>
            <w:vAlign w:val="bottom"/>
            <w:tcBorders>
              <w:bottom w:val="single" w:sz="8" w:color="CCEEFF"/>
            </w:tcBorders>
          </w:tcPr>
          <w:p>
            <w:pPr>
              <w:spacing w:after="0"/>
              <w:rPr>
                <w:sz w:val="16"/>
                <w:szCs w:val="16"/>
                <w:color w:val="auto"/>
              </w:rPr>
            </w:pPr>
          </w:p>
        </w:tc>
        <w:tc>
          <w:tcPr>
            <w:tcW w:w="300" w:type="dxa"/>
            <w:vAlign w:val="bottom"/>
            <w:tcBorders>
              <w:top w:val="single" w:sz="8" w:color="auto"/>
              <w:bottom w:val="single" w:sz="8" w:color="auto"/>
            </w:tcBorders>
          </w:tcPr>
          <w:p>
            <w:pPr>
              <w:spacing w:after="0"/>
              <w:rPr>
                <w:sz w:val="16"/>
                <w:szCs w:val="16"/>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289,624</w:t>
            </w:r>
          </w:p>
        </w:tc>
      </w:tr>
      <w:tr>
        <w:trPr>
          <w:trHeight w:val="203"/>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increase in cash, cash equivalents and restricted cash</w:t>
            </w:r>
          </w:p>
        </w:tc>
        <w:tc>
          <w:tcPr>
            <w:tcW w:w="30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132,501</w:t>
            </w: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198,695</w:t>
            </w:r>
          </w:p>
        </w:tc>
      </w:tr>
      <w:tr>
        <w:trPr>
          <w:trHeight w:val="196"/>
        </w:trPr>
        <w:tc>
          <w:tcPr>
            <w:tcW w:w="82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Cash, cash equivalents and restricted cash, beginning of period</w:t>
            </w:r>
          </w:p>
        </w:tc>
        <w:tc>
          <w:tcPr>
            <w:tcW w:w="30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204,575</w:t>
            </w:r>
          </w:p>
        </w:tc>
        <w:tc>
          <w:tcPr>
            <w:tcW w:w="10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5,880</w:t>
            </w:r>
          </w:p>
        </w:tc>
      </w:tr>
      <w:tr>
        <w:trPr>
          <w:trHeight w:val="228"/>
        </w:trPr>
        <w:tc>
          <w:tcPr>
            <w:tcW w:w="82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Cash, cash equivalents and restricted cash, end of period</w:t>
            </w:r>
          </w:p>
        </w:tc>
        <w:tc>
          <w:tcPr>
            <w:tcW w:w="300" w:type="dxa"/>
            <w:vAlign w:val="bottom"/>
            <w:tcBorders>
              <w:bottom w:val="single" w:sz="8" w:color="auto"/>
            </w:tcBorders>
            <w:shd w:val="clear" w:color="auto" w:fill="CCEEFF"/>
          </w:tcPr>
          <w:p>
            <w:pPr>
              <w:jc w:val="right"/>
              <w:ind w:right="148"/>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337,076</w:t>
            </w:r>
          </w:p>
        </w:tc>
        <w:tc>
          <w:tcPr>
            <w:tcW w:w="10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jc w:val="right"/>
              <w:ind w:right="148"/>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204,575</w:t>
            </w:r>
          </w:p>
        </w:tc>
      </w:tr>
      <w:tr>
        <w:trPr>
          <w:trHeight w:val="20"/>
        </w:trPr>
        <w:tc>
          <w:tcPr>
            <w:tcW w:w="826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-6651625</wp:posOffset>
            </wp:positionV>
            <wp:extent cx="523748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237480" cy="17145"/>
                    </a:xfrm>
                    <a:prstGeom prst="rect">
                      <a:avLst/>
                    </a:prstGeom>
                    <a:noFill/>
                  </pic:spPr>
                </pic:pic>
              </a:graphicData>
            </a:graphic>
          </wp:anchor>
        </w:drawing>
      </w:r>
    </w:p>
    <w:p>
      <w:pPr>
        <w:sectPr>
          <w:pgSz w:w="11900" w:h="16838" w:orient="portrait"/>
          <w:cols w:equalWidth="0" w:num="1">
            <w:col w:w="11000"/>
          </w:cols>
          <w:pgMar w:left="320" w:top="1406" w:right="57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6"/>
          <w:szCs w:val="16"/>
          <w:b w:val="1"/>
          <w:bCs w:val="1"/>
          <w:color w:val="auto"/>
        </w:rPr>
        <w:t>PAGAYA TECHNOLOGIES LTD.</w:t>
      </w:r>
    </w:p>
    <w:p>
      <w:pPr>
        <w:spacing w:after="0" w:line="1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RECONCILIATION OF NON-GAAP FINANCIAL MEASURES (UNAUDITED)</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(In thousands)</w:t>
      </w:r>
    </w:p>
    <w:p>
      <w:pPr>
        <w:spacing w:after="0" w:line="24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500" w:type="dxa"/>
            <w:vAlign w:val="bottom"/>
            <w:gridSpan w:val="5"/>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Three Months Ended December 31,</w:t>
            </w:r>
          </w:p>
        </w:tc>
        <w:tc>
          <w:tcPr>
            <w:tcW w:w="280" w:type="dxa"/>
            <w:vAlign w:val="bottom"/>
          </w:tcPr>
          <w:p>
            <w:pPr>
              <w:spacing w:after="0"/>
              <w:rPr>
                <w:sz w:val="13"/>
                <w:szCs w:val="13"/>
                <w:color w:val="auto"/>
              </w:rPr>
            </w:pPr>
          </w:p>
        </w:tc>
        <w:tc>
          <w:tcPr>
            <w:tcW w:w="1440" w:type="dxa"/>
            <w:vAlign w:val="bottom"/>
            <w:gridSpan w:val="3"/>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5"/>
        </w:trPr>
        <w:tc>
          <w:tcPr>
            <w:tcW w:w="6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500" w:type="dxa"/>
            <w:vAlign w:val="bottom"/>
            <w:gridSpan w:val="5"/>
            <w:vMerge w:val="continue"/>
          </w:tcPr>
          <w:p>
            <w:pPr>
              <w:spacing w:after="0"/>
              <w:rPr>
                <w:sz w:val="16"/>
                <w:szCs w:val="16"/>
                <w:color w:val="auto"/>
              </w:rPr>
            </w:pPr>
          </w:p>
        </w:tc>
        <w:tc>
          <w:tcPr>
            <w:tcW w:w="280" w:type="dxa"/>
            <w:vAlign w:val="bottom"/>
          </w:tcPr>
          <w:p>
            <w:pPr>
              <w:spacing w:after="0"/>
              <w:rPr>
                <w:sz w:val="16"/>
                <w:szCs w:val="16"/>
                <w:color w:val="auto"/>
              </w:rPr>
            </w:pPr>
          </w:p>
        </w:tc>
        <w:tc>
          <w:tcPr>
            <w:tcW w:w="144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8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6100" w:type="dxa"/>
            <w:vAlign w:val="bottom"/>
            <w:tcBorders>
              <w:bottom w:val="single" w:sz="8" w:color="CCEEFF"/>
            </w:tcBorders>
          </w:tcPr>
          <w:p>
            <w:pPr>
              <w:spacing w:after="0"/>
              <w:rPr>
                <w:sz w:val="16"/>
                <w:szCs w:val="16"/>
                <w:color w:val="auto"/>
              </w:rPr>
            </w:pPr>
          </w:p>
        </w:tc>
        <w:tc>
          <w:tcPr>
            <w:tcW w:w="120" w:type="dxa"/>
            <w:vAlign w:val="bottom"/>
            <w:tcBorders>
              <w:top w:val="single" w:sz="8" w:color="auto"/>
              <w:bottom w:val="single" w:sz="8" w:color="auto"/>
            </w:tcBorders>
          </w:tcPr>
          <w:p>
            <w:pPr>
              <w:spacing w:after="0"/>
              <w:rPr>
                <w:sz w:val="16"/>
                <w:szCs w:val="16"/>
                <w:color w:val="auto"/>
              </w:rPr>
            </w:pPr>
          </w:p>
        </w:tc>
        <w:tc>
          <w:tcPr>
            <w:tcW w:w="1100" w:type="dxa"/>
            <w:vAlign w:val="bottom"/>
            <w:tcBorders>
              <w:top w:val="single" w:sz="8" w:color="auto"/>
              <w:bottom w:val="single" w:sz="8" w:color="auto"/>
            </w:tcBorders>
          </w:tcPr>
          <w:p>
            <w:pPr>
              <w:jc w:val="right"/>
              <w:ind w:right="408"/>
              <w:spacing w:after="0"/>
              <w:rPr>
                <w:sz w:val="20"/>
                <w:szCs w:val="20"/>
                <w:color w:val="auto"/>
              </w:rPr>
            </w:pPr>
            <w:r>
              <w:rPr>
                <w:rFonts w:ascii="Times New Roman" w:cs="Times New Roman" w:eastAsia="Times New Roman" w:hAnsi="Times New Roman"/>
                <w:sz w:val="14"/>
                <w:szCs w:val="14"/>
                <w:b w:val="1"/>
                <w:bCs w:val="1"/>
                <w:color w:val="auto"/>
              </w:rPr>
              <w:t>2022</w:t>
            </w:r>
          </w:p>
        </w:tc>
        <w:tc>
          <w:tcPr>
            <w:tcW w:w="80" w:type="dxa"/>
            <w:vAlign w:val="bottom"/>
            <w:tcBorders>
              <w:top w:val="single" w:sz="8" w:color="auto"/>
              <w:bottom w:val="single" w:sz="8" w:color="CCEEFF"/>
            </w:tcBorders>
          </w:tcPr>
          <w:p>
            <w:pPr>
              <w:spacing w:after="0"/>
              <w:rPr>
                <w:sz w:val="16"/>
                <w:szCs w:val="16"/>
                <w:color w:val="auto"/>
              </w:rPr>
            </w:pPr>
          </w:p>
        </w:tc>
        <w:tc>
          <w:tcPr>
            <w:tcW w:w="280" w:type="dxa"/>
            <w:vAlign w:val="bottom"/>
            <w:tcBorders>
              <w:top w:val="single" w:sz="8" w:color="auto"/>
              <w:bottom w:val="single" w:sz="8" w:color="auto"/>
            </w:tcBorders>
          </w:tcPr>
          <w:p>
            <w:pPr>
              <w:spacing w:after="0"/>
              <w:rPr>
                <w:sz w:val="16"/>
                <w:szCs w:val="16"/>
                <w:color w:val="auto"/>
              </w:rPr>
            </w:pPr>
          </w:p>
        </w:tc>
        <w:tc>
          <w:tcPr>
            <w:tcW w:w="940" w:type="dxa"/>
            <w:vAlign w:val="bottom"/>
            <w:tcBorders>
              <w:top w:val="single" w:sz="8" w:color="auto"/>
              <w:bottom w:val="single" w:sz="8" w:color="auto"/>
            </w:tcBorders>
          </w:tcPr>
          <w:p>
            <w:pPr>
              <w:jc w:val="right"/>
              <w:ind w:right="388"/>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Borders>
              <w:bottom w:val="single" w:sz="8" w:color="CCEEFF"/>
            </w:tcBorders>
          </w:tcPr>
          <w:p>
            <w:pPr>
              <w:spacing w:after="0"/>
              <w:rPr>
                <w:sz w:val="16"/>
                <w:szCs w:val="16"/>
                <w:color w:val="auto"/>
              </w:rPr>
            </w:pPr>
          </w:p>
        </w:tc>
        <w:tc>
          <w:tcPr>
            <w:tcW w:w="280" w:type="dxa"/>
            <w:vAlign w:val="bottom"/>
            <w:tcBorders>
              <w:top w:val="single" w:sz="8" w:color="auto"/>
              <w:bottom w:val="single" w:sz="8" w:color="auto"/>
            </w:tcBorders>
          </w:tcPr>
          <w:p>
            <w:pPr>
              <w:spacing w:after="0"/>
              <w:rPr>
                <w:sz w:val="16"/>
                <w:szCs w:val="16"/>
                <w:color w:val="auto"/>
              </w:rPr>
            </w:pPr>
          </w:p>
        </w:tc>
        <w:tc>
          <w:tcPr>
            <w:tcW w:w="940" w:type="dxa"/>
            <w:vAlign w:val="bottom"/>
            <w:tcBorders>
              <w:top w:val="single" w:sz="8" w:color="auto"/>
              <w:bottom w:val="single" w:sz="8" w:color="auto"/>
            </w:tcBorders>
          </w:tcPr>
          <w:p>
            <w:pPr>
              <w:jc w:val="right"/>
              <w:ind w:right="408"/>
              <w:spacing w:after="0"/>
              <w:rPr>
                <w:sz w:val="20"/>
                <w:szCs w:val="20"/>
                <w:color w:val="auto"/>
              </w:rPr>
            </w:pPr>
            <w:r>
              <w:rPr>
                <w:rFonts w:ascii="Times New Roman" w:cs="Times New Roman" w:eastAsia="Times New Roman" w:hAnsi="Times New Roman"/>
                <w:sz w:val="14"/>
                <w:szCs w:val="14"/>
                <w:b w:val="1"/>
                <w:bCs w:val="1"/>
                <w:color w:val="auto"/>
              </w:rPr>
              <w:t>2022</w:t>
            </w:r>
          </w:p>
        </w:tc>
        <w:tc>
          <w:tcPr>
            <w:tcW w:w="80" w:type="dxa"/>
            <w:vAlign w:val="bottom"/>
            <w:tcBorders>
              <w:top w:val="single" w:sz="8" w:color="auto"/>
              <w:bottom w:val="single" w:sz="8" w:color="CCEEFF"/>
            </w:tcBorders>
          </w:tcPr>
          <w:p>
            <w:pPr>
              <w:spacing w:after="0"/>
              <w:rPr>
                <w:sz w:val="16"/>
                <w:szCs w:val="16"/>
                <w:color w:val="auto"/>
              </w:rPr>
            </w:pPr>
          </w:p>
        </w:tc>
        <w:tc>
          <w:tcPr>
            <w:tcW w:w="420" w:type="dxa"/>
            <w:vAlign w:val="bottom"/>
            <w:tcBorders>
              <w:top w:val="single" w:sz="8" w:color="auto"/>
              <w:bottom w:val="single" w:sz="8" w:color="auto"/>
            </w:tcBorders>
          </w:tcPr>
          <w:p>
            <w:pPr>
              <w:spacing w:after="0"/>
              <w:rPr>
                <w:sz w:val="16"/>
                <w:szCs w:val="16"/>
                <w:color w:val="auto"/>
              </w:rPr>
            </w:pPr>
          </w:p>
        </w:tc>
        <w:tc>
          <w:tcPr>
            <w:tcW w:w="800" w:type="dxa"/>
            <w:vAlign w:val="bottom"/>
            <w:tcBorders>
              <w:top w:val="single" w:sz="8" w:color="auto"/>
              <w:bottom w:val="single" w:sz="8" w:color="auto"/>
            </w:tcBorders>
          </w:tcPr>
          <w:p>
            <w:pPr>
              <w:jc w:val="right"/>
              <w:ind w:right="388"/>
              <w:spacing w:after="0"/>
              <w:rPr>
                <w:sz w:val="20"/>
                <w:szCs w:val="20"/>
                <w:color w:val="auto"/>
              </w:rPr>
            </w:pPr>
            <w:r>
              <w:rPr>
                <w:rFonts w:ascii="Times New Roman" w:cs="Times New Roman" w:eastAsia="Times New Roman" w:hAnsi="Times New Roman"/>
                <w:sz w:val="14"/>
                <w:szCs w:val="14"/>
                <w:b w:val="1"/>
                <w:bCs w:val="1"/>
                <w:color w:val="auto"/>
              </w:rPr>
              <w:t>2021</w:t>
            </w:r>
          </w:p>
        </w:tc>
        <w:tc>
          <w:tcPr>
            <w:tcW w:w="0" w:type="dxa"/>
            <w:vAlign w:val="bottom"/>
          </w:tcPr>
          <w:p>
            <w:pPr>
              <w:spacing w:after="0"/>
              <w:rPr>
                <w:sz w:val="1"/>
                <w:szCs w:val="1"/>
                <w:color w:val="auto"/>
              </w:rPr>
            </w:pPr>
          </w:p>
        </w:tc>
      </w:tr>
      <w:tr>
        <w:trPr>
          <w:trHeight w:val="202"/>
        </w:trPr>
        <w:tc>
          <w:tcPr>
            <w:tcW w:w="6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Net Loss Attributable to Pagaya Technologies Ltd.</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(33,998)</w:t>
            </w:r>
          </w:p>
        </w:tc>
        <w:tc>
          <w:tcPr>
            <w:tcW w:w="80" w:type="dxa"/>
            <w:vAlign w:val="bottom"/>
            <w:shd w:val="clear" w:color="auto" w:fill="CCEEFF"/>
          </w:tcPr>
          <w:p>
            <w:pPr>
              <w:spacing w:after="0"/>
              <w:rPr>
                <w:sz w:val="17"/>
                <w:szCs w:val="17"/>
                <w:color w:val="auto"/>
              </w:rPr>
            </w:pPr>
          </w:p>
        </w:tc>
        <w:tc>
          <w:tcPr>
            <w:tcW w:w="28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(10,456)</w:t>
            </w: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(302,321)</w:t>
            </w:r>
          </w:p>
        </w:tc>
        <w:tc>
          <w:tcPr>
            <w:tcW w:w="80" w:type="dxa"/>
            <w:vAlign w:val="bottom"/>
            <w:shd w:val="clear" w:color="auto" w:fill="CCEEFF"/>
          </w:tcPr>
          <w:p>
            <w:pPr>
              <w:spacing w:after="0"/>
              <w:rPr>
                <w:sz w:val="17"/>
                <w:szCs w:val="17"/>
                <w:color w:val="auto"/>
              </w:rPr>
            </w:pPr>
          </w:p>
        </w:tc>
        <w:tc>
          <w:tcPr>
            <w:tcW w:w="420" w:type="dxa"/>
            <w:vAlign w:val="bottom"/>
            <w:shd w:val="clear" w:color="auto" w:fill="CCEEFF"/>
          </w:tcPr>
          <w:p>
            <w:pPr>
              <w:jc w:val="right"/>
              <w:ind w:right="248"/>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(91,151)</w:t>
            </w:r>
          </w:p>
        </w:tc>
        <w:tc>
          <w:tcPr>
            <w:tcW w:w="0" w:type="dxa"/>
            <w:vAlign w:val="bottom"/>
          </w:tcPr>
          <w:p>
            <w:pPr>
              <w:spacing w:after="0"/>
              <w:rPr>
                <w:sz w:val="1"/>
                <w:szCs w:val="1"/>
                <w:color w:val="auto"/>
              </w:rPr>
            </w:pPr>
          </w:p>
        </w:tc>
      </w:tr>
      <w:tr>
        <w:trPr>
          <w:trHeight w:val="195"/>
        </w:trPr>
        <w:tc>
          <w:tcPr>
            <w:tcW w:w="61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Adjusted to exclude the following:</w:t>
            </w:r>
          </w:p>
        </w:tc>
        <w:tc>
          <w:tcPr>
            <w:tcW w:w="1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6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Share-based compensation</w:t>
            </w:r>
          </w:p>
        </w:tc>
        <w:tc>
          <w:tcPr>
            <w:tcW w:w="12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18,682</w:t>
            </w: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4,811</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241,689</w:t>
            </w: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67,785</w:t>
            </w:r>
          </w:p>
        </w:tc>
        <w:tc>
          <w:tcPr>
            <w:tcW w:w="0" w:type="dxa"/>
            <w:vAlign w:val="bottom"/>
          </w:tcPr>
          <w:p>
            <w:pPr>
              <w:spacing w:after="0"/>
              <w:rPr>
                <w:sz w:val="1"/>
                <w:szCs w:val="1"/>
                <w:color w:val="auto"/>
              </w:rPr>
            </w:pPr>
          </w:p>
        </w:tc>
      </w:tr>
      <w:tr>
        <w:trPr>
          <w:trHeight w:val="195"/>
        </w:trPr>
        <w:tc>
          <w:tcPr>
            <w:tcW w:w="61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Fair value adjustment to warrant liability</w:t>
            </w:r>
          </w:p>
        </w:tc>
        <w:tc>
          <w:tcPr>
            <w:tcW w:w="12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(1,680)</w:t>
            </w: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1,542</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(11,088)</w:t>
            </w:r>
          </w:p>
        </w:tc>
        <w:tc>
          <w:tcPr>
            <w:tcW w:w="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53,019</w:t>
            </w:r>
          </w:p>
        </w:tc>
        <w:tc>
          <w:tcPr>
            <w:tcW w:w="0" w:type="dxa"/>
            <w:vAlign w:val="bottom"/>
          </w:tcPr>
          <w:p>
            <w:pPr>
              <w:spacing w:after="0"/>
              <w:rPr>
                <w:sz w:val="1"/>
                <w:szCs w:val="1"/>
                <w:color w:val="auto"/>
              </w:rPr>
            </w:pPr>
          </w:p>
        </w:tc>
      </w:tr>
      <w:tr>
        <w:trPr>
          <w:trHeight w:val="210"/>
        </w:trPr>
        <w:tc>
          <w:tcPr>
            <w:tcW w:w="6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Other than temporary impairment loss on certain investments</w:t>
            </w:r>
          </w:p>
        </w:tc>
        <w:tc>
          <w:tcPr>
            <w:tcW w:w="12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8,836</w:t>
            </w: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8,836</w:t>
            </w: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5"/>
        </w:trPr>
        <w:tc>
          <w:tcPr>
            <w:tcW w:w="61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Impairment of goodwill and other intangible assets</w:t>
            </w:r>
          </w:p>
        </w:tc>
        <w:tc>
          <w:tcPr>
            <w:tcW w:w="120" w:type="dxa"/>
            <w:vAlign w:val="bottom"/>
          </w:tcPr>
          <w:p>
            <w:pPr>
              <w:spacing w:after="0"/>
              <w:rPr>
                <w:sz w:val="16"/>
                <w:szCs w:val="16"/>
                <w:color w:val="auto"/>
              </w:rPr>
            </w:pPr>
          </w:p>
        </w:tc>
        <w:tc>
          <w:tcPr>
            <w:tcW w:w="110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3,209</w:t>
            </w: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spacing w:after="0"/>
              <w:rPr>
                <w:sz w:val="16"/>
                <w:szCs w:val="16"/>
                <w:color w:val="auto"/>
              </w:rPr>
            </w:pPr>
          </w:p>
        </w:tc>
        <w:tc>
          <w:tcPr>
            <w:tcW w:w="94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3,209</w:t>
            </w:r>
          </w:p>
        </w:tc>
        <w:tc>
          <w:tcPr>
            <w:tcW w:w="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10"/>
        </w:trPr>
        <w:tc>
          <w:tcPr>
            <w:tcW w:w="6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Non-recurring expenses</w:t>
            </w:r>
          </w:p>
        </w:tc>
        <w:tc>
          <w:tcPr>
            <w:tcW w:w="12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1,268</w:t>
            </w:r>
          </w:p>
        </w:tc>
        <w:tc>
          <w:tcPr>
            <w:tcW w:w="8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4,483</w:t>
            </w:r>
          </w:p>
        </w:tc>
        <w:tc>
          <w:tcPr>
            <w:tcW w:w="10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27,011</w:t>
            </w:r>
          </w:p>
        </w:tc>
        <w:tc>
          <w:tcPr>
            <w:tcW w:w="80" w:type="dxa"/>
            <w:vAlign w:val="bottom"/>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7,606</w:t>
            </w:r>
          </w:p>
        </w:tc>
        <w:tc>
          <w:tcPr>
            <w:tcW w:w="0" w:type="dxa"/>
            <w:vAlign w:val="bottom"/>
          </w:tcPr>
          <w:p>
            <w:pPr>
              <w:spacing w:after="0"/>
              <w:rPr>
                <w:sz w:val="1"/>
                <w:szCs w:val="1"/>
                <w:color w:val="auto"/>
              </w:rPr>
            </w:pPr>
          </w:p>
        </w:tc>
      </w:tr>
      <w:tr>
        <w:trPr>
          <w:trHeight w:val="189"/>
        </w:trPr>
        <w:tc>
          <w:tcPr>
            <w:tcW w:w="610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Adjusted Net Income (Loss)</w:t>
            </w:r>
          </w:p>
        </w:tc>
        <w:tc>
          <w:tcPr>
            <w:tcW w:w="12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(3,683)</w:t>
            </w: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380</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(32,664)</w:t>
            </w:r>
          </w:p>
        </w:tc>
        <w:tc>
          <w:tcPr>
            <w:tcW w:w="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37,259</w:t>
            </w:r>
          </w:p>
        </w:tc>
        <w:tc>
          <w:tcPr>
            <w:tcW w:w="0" w:type="dxa"/>
            <w:vAlign w:val="bottom"/>
          </w:tcPr>
          <w:p>
            <w:pPr>
              <w:spacing w:after="0"/>
              <w:rPr>
                <w:sz w:val="1"/>
                <w:szCs w:val="1"/>
                <w:color w:val="auto"/>
              </w:rPr>
            </w:pPr>
          </w:p>
        </w:tc>
      </w:tr>
      <w:tr>
        <w:trPr>
          <w:trHeight w:val="210"/>
        </w:trPr>
        <w:tc>
          <w:tcPr>
            <w:tcW w:w="6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Adjusted to exclude the following:</w:t>
            </w:r>
          </w:p>
        </w:tc>
        <w:tc>
          <w:tcPr>
            <w:tcW w:w="1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61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Interest expenses</w:t>
            </w:r>
          </w:p>
        </w:tc>
        <w:tc>
          <w:tcPr>
            <w:tcW w:w="120" w:type="dxa"/>
            <w:vAlign w:val="bottom"/>
          </w:tcPr>
          <w:p>
            <w:pPr>
              <w:spacing w:after="0"/>
              <w:rPr>
                <w:sz w:val="16"/>
                <w:szCs w:val="16"/>
                <w:color w:val="auto"/>
              </w:rPr>
            </w:pPr>
          </w:p>
        </w:tc>
        <w:tc>
          <w:tcPr>
            <w:tcW w:w="110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1,716</w:t>
            </w: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spacing w:after="0"/>
              <w:rPr>
                <w:sz w:val="16"/>
                <w:szCs w:val="16"/>
                <w:color w:val="auto"/>
              </w:rPr>
            </w:pPr>
          </w:p>
        </w:tc>
        <w:tc>
          <w:tcPr>
            <w:tcW w:w="94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5,136</w:t>
            </w:r>
          </w:p>
        </w:tc>
        <w:tc>
          <w:tcPr>
            <w:tcW w:w="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10"/>
        </w:trPr>
        <w:tc>
          <w:tcPr>
            <w:tcW w:w="6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Provision for income tax</w:t>
            </w:r>
          </w:p>
        </w:tc>
        <w:tc>
          <w:tcPr>
            <w:tcW w:w="1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(9,204)</w:t>
            </w: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(3,542)</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16,400</w:t>
            </w: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7,875</w:t>
            </w:r>
          </w:p>
        </w:tc>
        <w:tc>
          <w:tcPr>
            <w:tcW w:w="0" w:type="dxa"/>
            <w:vAlign w:val="bottom"/>
          </w:tcPr>
          <w:p>
            <w:pPr>
              <w:spacing w:after="0"/>
              <w:rPr>
                <w:sz w:val="1"/>
                <w:szCs w:val="1"/>
                <w:color w:val="auto"/>
              </w:rPr>
            </w:pPr>
          </w:p>
        </w:tc>
      </w:tr>
      <w:tr>
        <w:trPr>
          <w:trHeight w:val="196"/>
        </w:trPr>
        <w:tc>
          <w:tcPr>
            <w:tcW w:w="61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Depreciation and amortization</w:t>
            </w:r>
          </w:p>
        </w:tc>
        <w:tc>
          <w:tcPr>
            <w:tcW w:w="12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2,217</w:t>
            </w:r>
          </w:p>
        </w:tc>
        <w:tc>
          <w:tcPr>
            <w:tcW w:w="8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326</w:t>
            </w:r>
          </w:p>
        </w:tc>
        <w:tc>
          <w:tcPr>
            <w:tcW w:w="10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6,294</w:t>
            </w:r>
          </w:p>
        </w:tc>
        <w:tc>
          <w:tcPr>
            <w:tcW w:w="80" w:type="dxa"/>
            <w:vAlign w:val="bottom"/>
            <w:tcBorders>
              <w:bottom w:val="single" w:sz="8" w:color="CCEEFF"/>
            </w:tcBorders>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815</w:t>
            </w:r>
          </w:p>
        </w:tc>
        <w:tc>
          <w:tcPr>
            <w:tcW w:w="0" w:type="dxa"/>
            <w:vAlign w:val="bottom"/>
          </w:tcPr>
          <w:p>
            <w:pPr>
              <w:spacing w:after="0"/>
              <w:rPr>
                <w:sz w:val="1"/>
                <w:szCs w:val="1"/>
                <w:color w:val="auto"/>
              </w:rPr>
            </w:pPr>
          </w:p>
        </w:tc>
      </w:tr>
      <w:tr>
        <w:trPr>
          <w:trHeight w:val="228"/>
        </w:trPr>
        <w:tc>
          <w:tcPr>
            <w:tcW w:w="61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Adjusted EBITDA</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(8,954)</w:t>
            </w:r>
          </w:p>
        </w:tc>
        <w:tc>
          <w:tcPr>
            <w:tcW w:w="8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(2,836)</w:t>
            </w:r>
          </w:p>
        </w:tc>
        <w:tc>
          <w:tcPr>
            <w:tcW w:w="10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(4,834)</w:t>
            </w:r>
          </w:p>
        </w:tc>
        <w:tc>
          <w:tcPr>
            <w:tcW w:w="80" w:type="dxa"/>
            <w:vAlign w:val="bottom"/>
            <w:tcBorders>
              <w:bottom w:val="single" w:sz="8" w:color="CCEEFF"/>
            </w:tcBorders>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jc w:val="right"/>
              <w:ind w:right="248"/>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45,949</w:t>
            </w:r>
          </w:p>
        </w:tc>
        <w:tc>
          <w:tcPr>
            <w:tcW w:w="0" w:type="dxa"/>
            <w:vAlign w:val="bottom"/>
          </w:tcPr>
          <w:p>
            <w:pPr>
              <w:spacing w:after="0"/>
              <w:rPr>
                <w:sz w:val="1"/>
                <w:szCs w:val="1"/>
                <w:color w:val="auto"/>
              </w:rPr>
            </w:pPr>
          </w:p>
        </w:tc>
      </w:tr>
      <w:tr>
        <w:trPr>
          <w:trHeight w:val="20"/>
        </w:trPr>
        <w:tc>
          <w:tcPr>
            <w:tcW w:w="6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 w:lineRule="exact"/>
        <w:rPr>
          <w:sz w:val="20"/>
          <w:szCs w:val="20"/>
          <w:color w:val="auto"/>
        </w:rPr>
      </w:pPr>
    </w:p>
    <w:sectPr>
      <w:pgSz w:w="11900" w:h="16838" w:orient="portrait"/>
      <w:cols w:equalWidth="0" w:num="1">
        <w:col w:w="11240"/>
      </w:cols>
      <w:pgMar w:left="320" w:top="1406"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9495CFF"/>
    <w:multiLevelType w:val="hybridMultilevel"/>
    <w:lvl w:ilvl="0">
      <w:lvlJc w:val="left"/>
      <w:lvlText w:val="•"/>
      <w:numFmt w:val="bullet"/>
      <w:start w:val="1"/>
    </w:lvl>
  </w:abstractNum>
  <w:abstractNum w:abstractNumId="1">
    <w:nsid w:val="2AE8944A"/>
    <w:multiLevelType w:val="hybridMultilevel"/>
    <w:lvl w:ilvl="0">
      <w:lvlJc w:val="left"/>
      <w:lvlText w:val="1"/>
      <w:numFmt w:val="bullet"/>
      <w:start w:val="1"/>
    </w:lvl>
  </w:abstractNum>
  <w:abstractNum w:abstractNumId="2">
    <w:nsid w:val="625558EC"/>
    <w:multiLevelType w:val="hybridMultilevel"/>
    <w:lvl w:ilvl="0">
      <w:lvlJc w:val="left"/>
      <w:lvlText w:val="•"/>
      <w:numFmt w:val="bullet"/>
      <w:start w:val="1"/>
    </w:lvl>
  </w:abstractNum>
  <w:abstractNum w:abstractNumId="3">
    <w:nsid w:val="238E1F29"/>
    <w:multiLevelType w:val="hybridMultilevel"/>
    <w:lvl w:ilvl="0">
      <w:lvlJc w:val="left"/>
      <w:lvlText w:val="(%1)"/>
      <w:numFmt w:val="decimal"/>
      <w:start w:val="1"/>
    </w:lvl>
  </w:abstractNum>
  <w:abstractNum w:abstractNumId="4">
    <w:nsid w:val="46E87CCD"/>
    <w:multiLevelType w:val="hybridMultilevel"/>
    <w:lvl w:ilvl="0">
      <w:lvlJc w:val="left"/>
      <w:lvlText w:val="(%1)"/>
      <w:numFmt w:val="decimal"/>
      <w:start w:val="3"/>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2023-02-15T06:25:52Z</dcterms:created>
  <dcterms:modified xsi:type="dcterms:W3CDTF">2023-02-15T06:25:52Z</dcterms:modified>
</cp:coreProperties>
</file>