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8-K</w:t>
      </w:r>
    </w:p>
    <w:p>
      <w:pPr>
        <w:spacing w:after="0" w:line="189"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February 9, 2026</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001-41430</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Pagaya Technologies Ltd.</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3" w:lineRule="exact"/>
        <w:rPr>
          <w:sz w:val="24"/>
          <w:szCs w:val="24"/>
          <w:color w:val="auto"/>
        </w:rPr>
      </w:pPr>
    </w:p>
    <w:tbl>
      <w:tblPr>
        <w:tblLayout w:type="fixed"/>
        <w:tblInd w:w="1660" w:type="dxa"/>
        <w:tblCellMar>
          <w:top w:w="0" w:type="dxa"/>
          <w:left w:w="0" w:type="dxa"/>
          <w:bottom w:w="0" w:type="dxa"/>
          <w:right w:w="0" w:type="dxa"/>
        </w:tblCellMar>
      </w:tblPr>
      <w:tr>
        <w:trPr>
          <w:trHeight w:val="182"/>
        </w:trPr>
        <w:tc>
          <w:tcPr>
            <w:tcW w:w="6020" w:type="dxa"/>
            <w:vAlign w:val="bottom"/>
          </w:tcPr>
          <w:p>
            <w:pPr>
              <w:jc w:val="center"/>
              <w:ind w:right="2569"/>
              <w:spacing w:after="0"/>
              <w:rPr>
                <w:sz w:val="20"/>
                <w:szCs w:val="20"/>
                <w:color w:val="auto"/>
              </w:rPr>
            </w:pPr>
            <w:r>
              <w:rPr>
                <w:rFonts w:ascii="Times New Roman" w:cs="Times New Roman" w:eastAsia="Times New Roman" w:hAnsi="Times New Roman"/>
                <w:sz w:val="14"/>
                <w:szCs w:val="14"/>
                <w:b w:val="1"/>
                <w:bCs w:val="1"/>
                <w:color w:val="auto"/>
                <w:w w:val="99"/>
              </w:rPr>
              <w:t>Israel</w:t>
            </w:r>
          </w:p>
        </w:tc>
        <w:tc>
          <w:tcPr>
            <w:tcW w:w="260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98-1704718</w:t>
            </w:r>
          </w:p>
        </w:tc>
      </w:tr>
      <w:tr>
        <w:trPr>
          <w:trHeight w:val="184"/>
        </w:trPr>
        <w:tc>
          <w:tcPr>
            <w:tcW w:w="6020" w:type="dxa"/>
            <w:vAlign w:val="bottom"/>
          </w:tcPr>
          <w:p>
            <w:pPr>
              <w:jc w:val="center"/>
              <w:ind w:right="2569"/>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60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217"/>
        </w:trPr>
        <w:tc>
          <w:tcPr>
            <w:tcW w:w="6020" w:type="dxa"/>
            <w:vAlign w:val="bottom"/>
          </w:tcPr>
          <w:p>
            <w:pPr>
              <w:jc w:val="center"/>
              <w:ind w:right="2569"/>
              <w:spacing w:after="0"/>
              <w:rPr>
                <w:sz w:val="20"/>
                <w:szCs w:val="20"/>
                <w:color w:val="auto"/>
              </w:rPr>
            </w:pPr>
            <w:r>
              <w:rPr>
                <w:rFonts w:ascii="Times New Roman" w:cs="Times New Roman" w:eastAsia="Times New Roman" w:hAnsi="Times New Roman"/>
                <w:sz w:val="14"/>
                <w:szCs w:val="14"/>
                <w:b w:val="1"/>
                <w:bCs w:val="1"/>
                <w:color w:val="auto"/>
              </w:rPr>
              <w:t>335 Madison Ave, 16th Floor</w:t>
            </w:r>
          </w:p>
        </w:tc>
        <w:tc>
          <w:tcPr>
            <w:tcW w:w="2600" w:type="dxa"/>
            <w:vAlign w:val="bottom"/>
          </w:tcPr>
          <w:p>
            <w:pPr>
              <w:spacing w:after="0"/>
              <w:rPr>
                <w:sz w:val="18"/>
                <w:szCs w:val="18"/>
                <w:color w:val="auto"/>
              </w:rPr>
            </w:pPr>
          </w:p>
        </w:tc>
      </w:tr>
      <w:tr>
        <w:trPr>
          <w:trHeight w:val="182"/>
        </w:trPr>
        <w:tc>
          <w:tcPr>
            <w:tcW w:w="6020" w:type="dxa"/>
            <w:vAlign w:val="bottom"/>
          </w:tcPr>
          <w:p>
            <w:pPr>
              <w:jc w:val="center"/>
              <w:ind w:right="2569"/>
              <w:spacing w:after="0"/>
              <w:rPr>
                <w:sz w:val="20"/>
                <w:szCs w:val="20"/>
                <w:color w:val="auto"/>
              </w:rPr>
            </w:pPr>
            <w:r>
              <w:rPr>
                <w:rFonts w:ascii="Times New Roman" w:cs="Times New Roman" w:eastAsia="Times New Roman" w:hAnsi="Times New Roman"/>
                <w:sz w:val="14"/>
                <w:szCs w:val="14"/>
                <w:b w:val="1"/>
                <w:bCs w:val="1"/>
                <w:color w:val="auto"/>
                <w:w w:val="97"/>
              </w:rPr>
              <w:t>New York, New York</w:t>
            </w:r>
          </w:p>
        </w:tc>
        <w:tc>
          <w:tcPr>
            <w:tcW w:w="2600" w:type="dxa"/>
            <w:vAlign w:val="bottom"/>
          </w:tcPr>
          <w:p>
            <w:pPr>
              <w:jc w:val="right"/>
              <w:ind w:right="789"/>
              <w:spacing w:after="0"/>
              <w:rPr>
                <w:sz w:val="20"/>
                <w:szCs w:val="20"/>
                <w:color w:val="auto"/>
              </w:rPr>
            </w:pPr>
            <w:r>
              <w:rPr>
                <w:rFonts w:ascii="Times New Roman" w:cs="Times New Roman" w:eastAsia="Times New Roman" w:hAnsi="Times New Roman"/>
                <w:sz w:val="14"/>
                <w:szCs w:val="14"/>
                <w:b w:val="1"/>
                <w:bCs w:val="1"/>
                <w:color w:val="auto"/>
              </w:rPr>
              <w:t>10017</w:t>
            </w:r>
          </w:p>
        </w:tc>
      </w:tr>
      <w:tr>
        <w:trPr>
          <w:trHeight w:val="184"/>
        </w:trPr>
        <w:tc>
          <w:tcPr>
            <w:tcW w:w="6020" w:type="dxa"/>
            <w:vAlign w:val="bottom"/>
          </w:tcPr>
          <w:p>
            <w:pPr>
              <w:jc w:val="center"/>
              <w:ind w:right="254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0" w:type="dxa"/>
            <w:vAlign w:val="bottom"/>
          </w:tcPr>
          <w:p>
            <w:pPr>
              <w:jc w:val="center"/>
              <w:ind w:left="469"/>
              <w:spacing w:after="0"/>
              <w:rPr>
                <w:sz w:val="20"/>
                <w:szCs w:val="20"/>
                <w:color w:val="auto"/>
              </w:rPr>
            </w:pPr>
            <w:r>
              <w:rPr>
                <w:rFonts w:ascii="Times New Roman" w:cs="Times New Roman" w:eastAsia="Times New Roman" w:hAnsi="Times New Roman"/>
                <w:sz w:val="14"/>
                <w:szCs w:val="14"/>
                <w:color w:val="auto"/>
              </w:rPr>
              <w:t>(Zip Code)</w:t>
            </w:r>
          </w:p>
        </w:tc>
      </w:tr>
      <w:tr>
        <w:trPr>
          <w:trHeight w:val="198"/>
        </w:trPr>
        <w:tc>
          <w:tcPr>
            <w:tcW w:w="6020" w:type="dxa"/>
            <w:vAlign w:val="bottom"/>
          </w:tcPr>
          <w:p>
            <w:pPr>
              <w:jc w:val="right"/>
              <w:ind w:right="1529"/>
              <w:spacing w:after="0"/>
              <w:rPr>
                <w:sz w:val="20"/>
                <w:szCs w:val="20"/>
                <w:color w:val="auto"/>
              </w:rPr>
            </w:pPr>
            <w:r>
              <w:rPr>
                <w:rFonts w:ascii="Times New Roman" w:cs="Times New Roman" w:eastAsia="Times New Roman" w:hAnsi="Times New Roman"/>
                <w:sz w:val="14"/>
                <w:szCs w:val="14"/>
                <w:b w:val="1"/>
                <w:bCs w:val="1"/>
                <w:color w:val="auto"/>
              </w:rPr>
              <w:t>(646) 710-7714</w:t>
            </w:r>
          </w:p>
        </w:tc>
        <w:tc>
          <w:tcPr>
            <w:tcW w:w="2600" w:type="dxa"/>
            <w:vAlign w:val="bottom"/>
          </w:tcPr>
          <w:p>
            <w:pPr>
              <w:spacing w:after="0"/>
              <w:rPr>
                <w:sz w:val="17"/>
                <w:szCs w:val="17"/>
                <w:color w:val="auto"/>
              </w:rPr>
            </w:pPr>
          </w:p>
        </w:tc>
      </w:tr>
      <w:tr>
        <w:trPr>
          <w:trHeight w:val="184"/>
        </w:trPr>
        <w:tc>
          <w:tcPr>
            <w:tcW w:w="6020" w:type="dxa"/>
            <w:vAlign w:val="bottom"/>
          </w:tcPr>
          <w:p>
            <w:pPr>
              <w:jc w:val="center"/>
              <w:ind w:left="188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600" w:type="dxa"/>
            <w:vAlign w:val="bottom"/>
          </w:tcPr>
          <w:p>
            <w:pPr>
              <w:spacing w:after="0"/>
              <w:rPr>
                <w:sz w:val="16"/>
                <w:szCs w:val="16"/>
                <w:color w:val="auto"/>
              </w:rPr>
            </w:pPr>
          </w:p>
        </w:tc>
      </w:tr>
    </w:tbl>
    <w:p>
      <w:pPr>
        <w:spacing w:after="0" w:line="15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 (see General Instruction A.2. below):</w:t>
      </w:r>
    </w:p>
    <w:p>
      <w:pPr>
        <w:spacing w:after="0" w:line="201" w:lineRule="exact"/>
        <w:rPr>
          <w:sz w:val="24"/>
          <w:szCs w:val="24"/>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 pursuant to Rule 425 under the Securities Act (17 CFR 230.425)</w:t>
      </w:r>
    </w:p>
    <w:p>
      <w:pPr>
        <w:spacing w:after="0" w:line="190" w:lineRule="exact"/>
        <w:rPr>
          <w:rFonts w:ascii="MS PGothic" w:cs="MS PGothic" w:eastAsia="MS PGothic" w:hAnsi="MS PGothic"/>
          <w:sz w:val="13"/>
          <w:szCs w:val="13"/>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200" w:lineRule="exact"/>
        <w:rPr>
          <w:rFonts w:ascii="MS PGothic" w:cs="MS PGothic" w:eastAsia="MS PGothic" w:hAnsi="MS PGothic"/>
          <w:sz w:val="13"/>
          <w:szCs w:val="13"/>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 pursuant to Rule 14d-2(b) under the Exchange Act (17 CFR 240.14d-2(b))</w:t>
      </w:r>
    </w:p>
    <w:p>
      <w:pPr>
        <w:spacing w:after="0" w:line="190" w:lineRule="exact"/>
        <w:rPr>
          <w:rFonts w:ascii="MS PGothic" w:cs="MS PGothic" w:eastAsia="MS PGothic" w:hAnsi="MS PGothic"/>
          <w:sz w:val="13"/>
          <w:szCs w:val="13"/>
          <w:color w:val="auto"/>
        </w:rPr>
      </w:pPr>
    </w:p>
    <w:p>
      <w:pPr>
        <w:ind w:left="160" w:hanging="155"/>
        <w:spacing w:after="0"/>
        <w:tabs>
          <w:tab w:leader="none" w:pos="16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 pursuant to Rule 13e-4(c) under the Exchange Act (17 CFR 240.13e-4(c))</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340" w:type="dxa"/>
            <w:vAlign w:val="bottom"/>
          </w:tcPr>
          <w:p>
            <w:pPr>
              <w:spacing w:after="0"/>
              <w:rPr>
                <w:sz w:val="14"/>
                <w:szCs w:val="14"/>
                <w:color w:val="auto"/>
              </w:rPr>
            </w:pPr>
          </w:p>
        </w:tc>
        <w:tc>
          <w:tcPr>
            <w:tcW w:w="7940" w:type="dxa"/>
            <w:vAlign w:val="bottom"/>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r>
      <w:tr>
        <w:trPr>
          <w:trHeight w:val="172"/>
        </w:trPr>
        <w:tc>
          <w:tcPr>
            <w:tcW w:w="3340" w:type="dxa"/>
            <w:vAlign w:val="bottom"/>
          </w:tcPr>
          <w:p>
            <w:pPr>
              <w:ind w:left="162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Trading Symbol(s)</w:t>
            </w:r>
          </w:p>
        </w:tc>
        <w:tc>
          <w:tcPr>
            <w:tcW w:w="4620" w:type="dxa"/>
            <w:vAlign w:val="bottom"/>
          </w:tcPr>
          <w:p>
            <w:pPr>
              <w:ind w:left="112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58"/>
        </w:trPr>
        <w:tc>
          <w:tcPr>
            <w:tcW w:w="3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Class A Ordinary Shares, no par value</w:t>
            </w: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PGY</w:t>
            </w:r>
          </w:p>
        </w:tc>
        <w:tc>
          <w:tcPr>
            <w:tcW w:w="80" w:type="dxa"/>
            <w:vAlign w:val="bottom"/>
          </w:tcPr>
          <w:p>
            <w:pPr>
              <w:spacing w:after="0"/>
              <w:rPr>
                <w:sz w:val="13"/>
                <w:szCs w:val="13"/>
                <w:color w:val="auto"/>
              </w:rPr>
            </w:pPr>
          </w:p>
        </w:tc>
        <w:tc>
          <w:tcPr>
            <w:tcW w:w="4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The NASDAQ Stock Market LLC</w:t>
            </w:r>
          </w:p>
        </w:tc>
      </w:tr>
      <w:tr>
        <w:trPr>
          <w:trHeight w:val="170"/>
        </w:trPr>
        <w:tc>
          <w:tcPr>
            <w:tcW w:w="3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 to purchase Class A Ordinary Shares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PGYWW</w:t>
            </w:r>
          </w:p>
        </w:tc>
        <w:tc>
          <w:tcPr>
            <w:tcW w:w="46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259" w:lineRule="exact"/>
        <w:rPr>
          <w:sz w:val="24"/>
          <w:szCs w:val="24"/>
          <w:color w:val="auto"/>
        </w:rPr>
      </w:pPr>
    </w:p>
    <w:p>
      <w:pPr>
        <w:ind w:right="320"/>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14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19" w:lineRule="exact"/>
        <w:rPr>
          <w:sz w:val="24"/>
          <w:szCs w:val="24"/>
          <w:color w:val="auto"/>
        </w:rPr>
      </w:pPr>
    </w:p>
    <w:p>
      <w:pPr>
        <w:ind w:right="240"/>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0" w:right="319" w:bottom="1440" w:gutter="0" w:footer="0" w:header="0"/>
        </w:sectPr>
      </w:pPr>
    </w:p>
    <w:bookmarkStart w:id="1" w:name="page2"/>
    <w:bookmarkEnd w:id="1"/>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2.02. Results of Operations and Financial Condition.</w:t>
      </w:r>
    </w:p>
    <w:p>
      <w:pPr>
        <w:spacing w:after="0" w:line="202" w:lineRule="exact"/>
        <w:rPr>
          <w:sz w:val="20"/>
          <w:szCs w:val="20"/>
          <w:color w:val="auto"/>
        </w:rPr>
      </w:pPr>
    </w:p>
    <w:p>
      <w:pPr>
        <w:ind w:right="240"/>
        <w:spacing w:after="0" w:line="287" w:lineRule="auto"/>
        <w:rPr>
          <w:sz w:val="20"/>
          <w:szCs w:val="20"/>
          <w:color w:val="auto"/>
        </w:rPr>
      </w:pPr>
      <w:r>
        <w:rPr>
          <w:rFonts w:ascii="Times New Roman" w:cs="Times New Roman" w:eastAsia="Times New Roman" w:hAnsi="Times New Roman"/>
          <w:sz w:val="14"/>
          <w:szCs w:val="14"/>
          <w:color w:val="auto"/>
        </w:rPr>
        <w:t>On February 9, 2026, the registrant issued a press release announcing its financial results for the quarter and fiscal year ended December 31, 2025. A copy of the press release is attached hereto as Exhibit 99.1.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7.01. Regulation FD Disclosure.</w:t>
      </w:r>
    </w:p>
    <w:p>
      <w:pPr>
        <w:spacing w:after="0" w:line="202" w:lineRule="exact"/>
        <w:rPr>
          <w:sz w:val="20"/>
          <w:szCs w:val="20"/>
          <w:color w:val="auto"/>
        </w:rPr>
      </w:pPr>
    </w:p>
    <w:p>
      <w:pPr>
        <w:ind w:right="100"/>
        <w:spacing w:after="0" w:line="287" w:lineRule="auto"/>
        <w:rPr>
          <w:sz w:val="20"/>
          <w:szCs w:val="20"/>
          <w:color w:val="auto"/>
        </w:rPr>
      </w:pPr>
      <w:r>
        <w:rPr>
          <w:rFonts w:ascii="Times New Roman" w:cs="Times New Roman" w:eastAsia="Times New Roman" w:hAnsi="Times New Roman"/>
          <w:sz w:val="14"/>
          <w:szCs w:val="14"/>
          <w:color w:val="auto"/>
        </w:rPr>
        <w:t>On February 9, 2026, the registrant also released a letter to shareholders relating to its results for the quarter and fiscal year ended December 31, 2025. A copy of the letter is attached as Exhibit 99.2 hereto.</w:t>
      </w:r>
    </w:p>
    <w:p>
      <w:pPr>
        <w:spacing w:after="0" w:line="143" w:lineRule="exact"/>
        <w:rPr>
          <w:sz w:val="20"/>
          <w:szCs w:val="20"/>
          <w:color w:val="auto"/>
        </w:rPr>
      </w:pPr>
    </w:p>
    <w:p>
      <w:pPr>
        <w:ind w:right="360"/>
        <w:spacing w:after="0" w:line="290" w:lineRule="auto"/>
        <w:rPr>
          <w:sz w:val="20"/>
          <w:szCs w:val="20"/>
          <w:color w:val="auto"/>
        </w:rPr>
      </w:pPr>
      <w:r>
        <w:rPr>
          <w:rFonts w:ascii="Times New Roman" w:cs="Times New Roman" w:eastAsia="Times New Roman" w:hAnsi="Times New Roman"/>
          <w:sz w:val="14"/>
          <w:szCs w:val="14"/>
          <w:i w:val="1"/>
          <w:iCs w:val="1"/>
          <w:color w:val="auto"/>
        </w:rPr>
        <w:t>The information contained in Exhibit 99.1 and Exhibit 99.2 shall not be deemed “filed” for purposes of Section 18 of the Securities Exchange Act of 1934, as amended (the “Exchange Act”), or incorporated by reference in any filing under the Securities Act of 1933, as amended, or the Exchange Act.</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 Exhibits</w:t>
            </w:r>
          </w:p>
        </w:tc>
        <w:tc>
          <w:tcPr>
            <w:tcW w:w="9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20" w:type="dxa"/>
            <w:vAlign w:val="bottom"/>
            <w:gridSpan w:val="2"/>
          </w:tcPr>
          <w:p>
            <w:pPr>
              <w:ind w:left="45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360" w:type="dxa"/>
            <w:vAlign w:val="bottom"/>
            <w:tcBorders>
              <w:top w:val="single" w:sz="8" w:color="auto"/>
              <w:left w:val="single" w:sz="8" w:color="CCEEFF"/>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1</w:t>
            </w:r>
          </w:p>
        </w:tc>
        <w:tc>
          <w:tcPr>
            <w:tcW w:w="80" w:type="dxa"/>
            <w:vAlign w:val="bottom"/>
            <w:tcBorders>
              <w:top w:val="single" w:sz="8" w:color="CCEEFF"/>
            </w:tcBorders>
            <w:shd w:val="clear" w:color="auto" w:fill="CCEEFF"/>
          </w:tcPr>
          <w:p>
            <w:pPr>
              <w:spacing w:after="0"/>
              <w:rPr>
                <w:sz w:val="12"/>
                <w:szCs w:val="12"/>
                <w:color w:val="auto"/>
              </w:rPr>
            </w:pPr>
          </w:p>
        </w:tc>
        <w:tc>
          <w:tcPr>
            <w:tcW w:w="9800" w:type="dxa"/>
            <w:vAlign w:val="bottom"/>
            <w:tcBorders>
              <w:top w:val="single" w:sz="8" w:color="auto"/>
            </w:tcBorders>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Press Release, dated February 9, 2026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20" w:type="dxa"/>
            <w:vAlign w:val="bottom"/>
            <w:vMerge w:val="restart"/>
          </w:tcPr>
          <w:p>
            <w:pPr>
              <w:spacing w:after="0"/>
              <w:rPr>
                <w:sz w:val="3"/>
                <w:szCs w:val="3"/>
                <w:color w:val="auto"/>
              </w:rPr>
            </w:pPr>
          </w:p>
        </w:tc>
        <w:tc>
          <w:tcPr>
            <w:tcW w:w="260" w:type="dxa"/>
            <w:vAlign w:val="bottom"/>
            <w:tcBorders>
              <w:top w:val="single" w:sz="8" w:color="0000FF"/>
              <w:left w:val="single" w:sz="8" w:color="CCEEFF"/>
            </w:tcBorders>
            <w:shd w:val="clear" w:color="auto" w:fill="CCEEFF"/>
          </w:tcPr>
          <w:p>
            <w:pPr>
              <w:spacing w:after="0"/>
              <w:rPr>
                <w:sz w:val="3"/>
                <w:szCs w:val="3"/>
                <w:color w:val="auto"/>
              </w:rPr>
            </w:pPr>
          </w:p>
        </w:tc>
        <w:tc>
          <w:tcPr>
            <w:tcW w:w="110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9800" w:type="dxa"/>
            <w:vAlign w:val="bottom"/>
            <w:tcBorders>
              <w:top w:val="single" w:sz="8" w:color="CCEEFF"/>
            </w:tcBorders>
            <w:shd w:val="clear" w:color="auto" w:fill="CCEEFF"/>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0000FF"/>
              </w:rPr>
              <w:t>99.</w:t>
            </w:r>
            <w:r>
              <w:rPr>
                <w:rFonts w:ascii="Times New Roman" w:cs="Times New Roman" w:eastAsia="Times New Roman" w:hAnsi="Times New Roman"/>
                <w:sz w:val="14"/>
                <w:szCs w:val="14"/>
                <w:u w:val="single" w:color="auto"/>
                <w:color w:val="0000FF"/>
              </w:rPr>
              <w:t>2</w:t>
            </w:r>
          </w:p>
        </w:tc>
        <w:tc>
          <w:tcPr>
            <w:tcW w:w="80" w:type="dxa"/>
            <w:vAlign w:val="bottom"/>
          </w:tcPr>
          <w:p>
            <w:pPr>
              <w:spacing w:after="0"/>
              <w:rPr>
                <w:sz w:val="12"/>
                <w:szCs w:val="12"/>
                <w:color w:val="auto"/>
              </w:rPr>
            </w:pPr>
          </w:p>
        </w:tc>
        <w:tc>
          <w:tcPr>
            <w:tcW w:w="9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Shareholder Letter, dated February 9, 2026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19"/>
        </w:trPr>
        <w:tc>
          <w:tcPr>
            <w:tcW w:w="20" w:type="dxa"/>
            <w:vAlign w:val="bottom"/>
            <w:tcBorders>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PAGAYA TECHNOLOGIES LTD.</w:t>
            </w:r>
          </w:p>
        </w:tc>
      </w:tr>
      <w:tr>
        <w:trPr>
          <w:trHeight w:val="297"/>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Date: February 9, 2026</w:t>
            </w:r>
          </w:p>
        </w:tc>
        <w:tc>
          <w:tcPr>
            <w:tcW w:w="300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By:</w:t>
            </w:r>
          </w:p>
        </w:tc>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Gal Krubiner</w:t>
            </w:r>
          </w:p>
        </w:tc>
      </w:tr>
      <w:tr>
        <w:trPr>
          <w:trHeight w:val="167"/>
        </w:trPr>
        <w:tc>
          <w:tcPr>
            <w:tcW w:w="3460" w:type="dxa"/>
            <w:vAlign w:val="bottom"/>
          </w:tcPr>
          <w:p>
            <w:pPr>
              <w:spacing w:after="0"/>
              <w:rPr>
                <w:sz w:val="14"/>
                <w:szCs w:val="14"/>
                <w:color w:val="auto"/>
              </w:rPr>
            </w:pPr>
          </w:p>
        </w:tc>
        <w:tc>
          <w:tcPr>
            <w:tcW w:w="300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Name:</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Gal Krubiner</w:t>
            </w:r>
          </w:p>
        </w:tc>
      </w:tr>
      <w:tr>
        <w:trPr>
          <w:trHeight w:val="184"/>
        </w:trPr>
        <w:tc>
          <w:tcPr>
            <w:tcW w:w="3460" w:type="dxa"/>
            <w:vAlign w:val="bottom"/>
          </w:tcPr>
          <w:p>
            <w:pPr>
              <w:spacing w:after="0"/>
              <w:rPr>
                <w:sz w:val="16"/>
                <w:szCs w:val="16"/>
                <w:color w:val="auto"/>
              </w:rPr>
            </w:pPr>
          </w:p>
        </w:tc>
        <w:tc>
          <w:tcPr>
            <w:tcW w:w="3000" w:type="dxa"/>
            <w:vAlign w:val="bottom"/>
          </w:tcPr>
          <w:p>
            <w:pPr>
              <w:ind w:left="2160"/>
              <w:spacing w:after="0"/>
              <w:rPr>
                <w:sz w:val="20"/>
                <w:szCs w:val="20"/>
                <w:color w:val="auto"/>
              </w:rPr>
            </w:pPr>
            <w:r>
              <w:rPr>
                <w:rFonts w:ascii="Times New Roman" w:cs="Times New Roman" w:eastAsia="Times New Roman" w:hAnsi="Times New Roman"/>
                <w:sz w:val="14"/>
                <w:szCs w:val="14"/>
                <w:color w:val="auto"/>
              </w:rPr>
              <w:t>Title:</w:t>
            </w:r>
          </w:p>
        </w:tc>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ectPr>
          <w:pgSz w:w="11900" w:h="16838" w:orient="portrait"/>
          <w:cols w:equalWidth="0" w:num="1">
            <w:col w:w="11280"/>
          </w:cols>
          <w:pgMar w:left="300" w:top="1141"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2026-02-09T06:03:35Z</dcterms:created>
  <dcterms:modified xsi:type="dcterms:W3CDTF">2026-02-09T06:03:35Z</dcterms:modified>
</cp:coreProperties>
</file>