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FORM 10-Q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973"/>
        <w:gridCol w:w="973"/>
        <w:gridCol w:w="973"/>
        <w:gridCol w:w="973"/>
        <w:gridCol w:w="973"/>
        <w:gridCol w:w="973"/>
        <w:gridCol w:w="973"/>
        <w:gridCol w:w="973"/>
        <w:gridCol w:w="14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 ☒</w:t>
            </w:r>
          </w:p>
        </w:tc>
        <w:tc>
          <w:tcPr>
            <w:tcW w:w="92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2024</w:t>
      </w:r>
    </w:p>
    <w:p>
      <w:pPr>
        <w:pStyle w:val="TextBody"/>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977"/>
        <w:gridCol w:w="977"/>
        <w:gridCol w:w="977"/>
        <w:gridCol w:w="977"/>
        <w:gridCol w:w="977"/>
        <w:gridCol w:w="977"/>
        <w:gridCol w:w="977"/>
        <w:gridCol w:w="977"/>
        <w:gridCol w:w="13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 ☐</w:t>
            </w:r>
          </w:p>
        </w:tc>
        <w:tc>
          <w:tcPr>
            <w:tcW w:w="92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__________ to __________</w:t>
      </w:r>
    </w:p>
    <w:p>
      <w:pPr>
        <w:pStyle w:val="TextBody"/>
        <w:bidi w:val="0"/>
        <w:spacing w:before="0" w:after="0"/>
        <w:jc w:val="left"/>
        <w:rPr/>
      </w:pPr>
      <w:r>
        <w:rPr/>
      </w:r>
    </w:p>
    <w:p>
      <w:pPr>
        <w:pStyle w:val="TextBody"/>
        <w:bidi w:val="0"/>
        <w:spacing w:lineRule="auto" w:line="240" w:before="0" w:after="0"/>
        <w:jc w:val="center"/>
        <w:rPr/>
      </w:pPr>
      <w:r>
        <w:rPr>
          <w:rFonts w:ascii="Times New Roman;sans-serif" w:hAnsi="Times New Roman;sans-serif"/>
          <w:b/>
          <w:color w:val="000000"/>
          <w:sz w:val="20"/>
        </w:rPr>
        <w:t xml:space="preserve">Commission File Number: </w:t>
      </w:r>
      <w:r>
        <w:rPr>
          <w:rFonts w:ascii="Times New Roman;sans-serif" w:hAnsi="Times New Roman;sans-serif"/>
          <w:b/>
          <w:color w:val="000000"/>
          <w:sz w:val="18"/>
        </w:rPr>
        <w:t>001-41430</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Pagaya Technologies Ltd.</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before="0" w:after="0"/>
        <w:jc w:val="center"/>
        <w:rPr/>
      </w:pPr>
      <w:r>
        <w:rPr/>
      </w:r>
    </w:p>
    <w:tbl>
      <w:tblPr>
        <w:tblW w:w="9948" w:type="dxa"/>
        <w:jc w:val="center"/>
        <w:tblInd w:w="0" w:type="dxa"/>
        <w:tblLayout w:type="fixed"/>
        <w:tblCellMar>
          <w:top w:w="28" w:type="dxa"/>
          <w:left w:w="28" w:type="dxa"/>
          <w:bottom w:w="28" w:type="dxa"/>
          <w:right w:w="28" w:type="dxa"/>
        </w:tblCellMar>
      </w:tblPr>
      <w:tblGrid>
        <w:gridCol w:w="617"/>
        <w:gridCol w:w="540"/>
        <w:gridCol w:w="540"/>
        <w:gridCol w:w="540"/>
        <w:gridCol w:w="540"/>
        <w:gridCol w:w="540"/>
        <w:gridCol w:w="540"/>
        <w:gridCol w:w="540"/>
        <w:gridCol w:w="56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319"/>
        <w:gridCol w:w="319"/>
        <w:gridCol w:w="319"/>
        <w:gridCol w:w="319"/>
        <w:gridCol w:w="319"/>
        <w:gridCol w:w="319"/>
        <w:gridCol w:w="319"/>
        <w:gridCol w:w="319"/>
        <w:gridCol w:w="473"/>
      </w:tblGrid>
      <w:tr>
        <w:trPr/>
        <w:tc>
          <w:tcPr>
            <w:tcW w:w="61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Israel</w:t>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87-3083236</w:t>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594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90 Park Ave, 20th Floor</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New York, New York</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10016</w:t>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(646) 710-7714</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Securities registered pursuant to Section 12(b) of the Act: </w:t>
      </w:r>
    </w:p>
    <w:tbl>
      <w:tblPr>
        <w:tblW w:w="9187" w:type="dxa"/>
        <w:jc w:val="left"/>
        <w:tblInd w:w="0" w:type="dxa"/>
        <w:tblLayout w:type="fixed"/>
        <w:tblCellMar>
          <w:top w:w="28" w:type="dxa"/>
          <w:left w:w="28" w:type="dxa"/>
          <w:bottom w:w="28" w:type="dxa"/>
          <w:right w:w="28" w:type="dxa"/>
        </w:tblCellMar>
      </w:tblPr>
      <w:tblGrid>
        <w:gridCol w:w="1264"/>
        <w:gridCol w:w="1112"/>
        <w:gridCol w:w="1119"/>
        <w:gridCol w:w="109"/>
        <w:gridCol w:w="109"/>
        <w:gridCol w:w="109"/>
        <w:gridCol w:w="519"/>
        <w:gridCol w:w="519"/>
        <w:gridCol w:w="521"/>
        <w:gridCol w:w="109"/>
        <w:gridCol w:w="109"/>
        <w:gridCol w:w="109"/>
        <w:gridCol w:w="1019"/>
        <w:gridCol w:w="1019"/>
        <w:gridCol w:w="1441"/>
      </w:tblGrid>
      <w:tr>
        <w:trPr/>
        <w:tc>
          <w:tcPr>
            <w:tcW w:w="1264"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A Ordinary Shares, no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Warrants to purchase Class A Ordinary 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PGYWW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tc>
      </w:tr>
    </w:tbl>
    <w:p>
      <w:pPr>
        <w:pStyle w:val="TextBody"/>
        <w:bidi w:val="0"/>
        <w:spacing w:lineRule="auto" w:line="240" w:before="0" w:after="0"/>
        <w:jc w:val="both"/>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40" w:before="0" w:after="0"/>
        <w:jc w:val="both"/>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bl>
    <w:p>
      <w:pPr>
        <w:pStyle w:val="TextBody"/>
        <w:bidi w:val="0"/>
        <w:spacing w:lineRule="auto" w:line="240" w:before="0" w:after="0"/>
        <w:jc w:val="both"/>
        <w:rPr/>
      </w:pPr>
      <w:r>
        <w:rPr>
          <w:color w:val="000000"/>
        </w:rPr>
        <w:t> </w:t>
      </w: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40" w:before="0" w:after="0"/>
        <w:jc w:val="both"/>
        <w:rPr/>
      </w:pPr>
      <w:r>
        <w:rPr>
          <w:rFonts w:ascii="Times New Roman;sans-serif" w:hAnsi="Times New Roman;sans-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As of April 30, 2024, the registrant had 58,247,909 Class A Ordinary Shares, no par value, outstanding and 12,652,310 Class B Ordinary Shares, no par value, outstanding, and 5,000,000 Series A Preferred Shares, no par value, outstanding.</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1ae226876884df5aa3fa0a01a318c5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TABLE OF CONTENTS</w:t>
      </w:r>
    </w:p>
    <w:p>
      <w:pPr>
        <w:pStyle w:val="TextBody"/>
        <w:bidi w:val="0"/>
        <w:spacing w:before="0" w:after="0"/>
        <w:jc w:val="center"/>
        <w:rPr/>
      </w:pPr>
      <w:r>
        <w:rPr/>
      </w:r>
    </w:p>
    <w:tbl>
      <w:tblPr>
        <w:tblW w:w="9088" w:type="dxa"/>
        <w:jc w:val="left"/>
        <w:tblInd w:w="0" w:type="dxa"/>
        <w:tblLayout w:type="fixed"/>
        <w:tblCellMar>
          <w:top w:w="28" w:type="dxa"/>
          <w:left w:w="28" w:type="dxa"/>
          <w:bottom w:w="28" w:type="dxa"/>
          <w:right w:w="28" w:type="dxa"/>
        </w:tblCellMar>
      </w:tblPr>
      <w:tblGrid>
        <w:gridCol w:w="2990"/>
        <w:gridCol w:w="2627"/>
        <w:gridCol w:w="2633"/>
        <w:gridCol w:w="109"/>
        <w:gridCol w:w="109"/>
        <w:gridCol w:w="109"/>
        <w:gridCol w:w="149"/>
        <w:gridCol w:w="149"/>
        <w:gridCol w:w="213"/>
      </w:tblGrid>
      <w:tr>
        <w:trPr/>
        <w:tc>
          <w:tcPr>
            <w:tcW w:w="2990" w:type="dxa"/>
            <w:tcBorders/>
            <w:vAlign w:val="center"/>
          </w:tcPr>
          <w:p>
            <w:pPr>
              <w:pStyle w:val="TableContents"/>
              <w:bidi w:val="0"/>
              <w:spacing w:before="0" w:after="283"/>
              <w:jc w:val="left"/>
              <w:rPr>
                <w:sz w:val="4"/>
                <w:szCs w:val="4"/>
              </w:rPr>
            </w:pPr>
            <w:r>
              <w:rPr>
                <w:sz w:val="4"/>
                <w:szCs w:val="4"/>
              </w:rPr>
            </w:r>
          </w:p>
        </w:tc>
        <w:tc>
          <w:tcPr>
            <w:tcW w:w="2627" w:type="dxa"/>
            <w:tcBorders/>
            <w:vAlign w:val="center"/>
          </w:tcPr>
          <w:p>
            <w:pPr>
              <w:pStyle w:val="TableContents"/>
              <w:bidi w:val="0"/>
              <w:spacing w:before="0" w:after="283"/>
              <w:jc w:val="left"/>
              <w:rPr>
                <w:sz w:val="4"/>
                <w:szCs w:val="4"/>
              </w:rPr>
            </w:pPr>
            <w:r>
              <w:rPr>
                <w:sz w:val="4"/>
                <w:szCs w:val="4"/>
              </w:rPr>
            </w:r>
          </w:p>
        </w:tc>
        <w:tc>
          <w:tcPr>
            <w:tcW w:w="2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Page</w:t>
            </w:r>
          </w:p>
        </w:tc>
      </w:tr>
      <w:tr>
        <w:trPr/>
        <w:tc>
          <w:tcPr>
            <w:tcW w:w="82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1ae226876884df5aa3fa0a01a318c55_22">
              <w:r>
                <w:rPr>
                  <w:rStyle w:val="InternetLink"/>
                  <w:rFonts w:ascii="Times New Roman;sans-serif" w:hAnsi="Times New Roman;sans-serif"/>
                  <w:b w:val="false"/>
                  <w:color w:val="000080"/>
                  <w:sz w:val="18"/>
                  <w:u w:val="single"/>
                </w:rPr>
                <w:t>Part I - Financial Informatio</w:t>
              </w:r>
            </w:hyperlink>
            <w:hyperlink w:anchor="ia1ae226876884df5aa3fa0a01a318c55_22">
              <w:r>
                <w:rPr>
                  <w:rStyle w:val="InternetLink"/>
                  <w:rFonts w:ascii="Times New Roman;sans-serif" w:hAnsi="Times New Roman;sans-serif"/>
                  <w:b w:val="false"/>
                  <w:color w:val="000080"/>
                  <w:sz w:val="18"/>
                  <w:u w:val="single"/>
                </w:rPr>
                <w:t>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hyperlink w:anchor="ia1ae226876884df5aa3fa0a01a318c55_22">
              <w:r>
                <w:rPr>
                  <w:rStyle w:val="InternetLink"/>
                  <w:rFonts w:ascii="Times New Roman;sans-serif" w:hAnsi="Times New Roman;sans-serif"/>
                  <w:b w:val="false"/>
                  <w:strike w:val="false"/>
                  <w:dstrike w:val="false"/>
                  <w:color w:val="000000"/>
                  <w:sz w:val="18"/>
                  <w:u w:val="none"/>
                  <w:effect w:val="none"/>
                </w:rPr>
                <w:t>1</w:t>
              </w:r>
            </w:hyperlink>
          </w:p>
        </w:tc>
      </w:tr>
      <w:tr>
        <w:trPr/>
        <w:tc>
          <w:tcPr>
            <w:tcW w:w="82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1ae226876884df5aa3fa0a01a318c55_25">
              <w:r>
                <w:rPr>
                  <w:rStyle w:val="InternetLink"/>
                  <w:rFonts w:ascii="Times New Roman;sans-serif" w:hAnsi="Times New Roman;sans-serif"/>
                  <w:b w:val="false"/>
                  <w:color w:val="0000FF"/>
                  <w:sz w:val="18"/>
                  <w:u w:val="single"/>
                </w:rPr>
                <w:t>Item 1. Financial Statements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1ae226876884df5aa3fa0a01a318c55_25">
              <w:r>
                <w:rPr>
                  <w:rStyle w:val="InternetLink"/>
                  <w:rFonts w:ascii="Times New Roman;sans-serif" w:hAnsi="Times New Roman;sans-serif"/>
                  <w:b w:val="false"/>
                  <w:strike w:val="false"/>
                  <w:dstrike w:val="false"/>
                  <w:color w:val="000000"/>
                  <w:sz w:val="18"/>
                  <w:u w:val="none"/>
                  <w:effect w:val="none"/>
                </w:rPr>
                <w:t>1</w:t>
              </w:r>
            </w:hyperlink>
          </w:p>
        </w:tc>
      </w:tr>
      <w:tr>
        <w:trPr/>
        <w:tc>
          <w:tcPr>
            <w:tcW w:w="8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1ae226876884df5aa3fa0a01a318c55_163">
              <w:r>
                <w:rPr>
                  <w:rStyle w:val="InternetLink"/>
                  <w:rFonts w:ascii="Times New Roman;sans-serif" w:hAnsi="Times New Roman;sans-serif"/>
                  <w:b w:val="false"/>
                  <w:color w:val="000080"/>
                  <w:sz w:val="18"/>
                  <w:u w:val="single"/>
                </w:rPr>
                <w:t>C</w:t>
              </w:r>
            </w:hyperlink>
            <w:hyperlink w:anchor="ia1ae226876884df5aa3fa0a01a318c55_163">
              <w:r>
                <w:rPr>
                  <w:rStyle w:val="InternetLink"/>
                  <w:rFonts w:ascii="Times New Roman;sans-serif" w:hAnsi="Times New Roman;sans-serif"/>
                  <w:b w:val="false"/>
                  <w:color w:val="000080"/>
                  <w:sz w:val="18"/>
                  <w:u w:val="single"/>
                </w:rPr>
                <w:t>o</w:t>
              </w:r>
            </w:hyperlink>
            <w:hyperlink w:anchor="ia1ae226876884df5aa3fa0a01a318c55_163">
              <w:r>
                <w:rPr>
                  <w:rStyle w:val="InternetLink"/>
                  <w:rFonts w:ascii="Times New Roman;sans-serif" w:hAnsi="Times New Roman;sans-serif"/>
                  <w:b w:val="false"/>
                  <w:color w:val="000080"/>
                  <w:sz w:val="18"/>
                  <w:u w:val="single"/>
                </w:rPr>
                <w:t>ndensed consolidated balance sheet</w:t>
              </w:r>
            </w:hyperlink>
            <w:hyperlink w:anchor="ia1ae226876884df5aa3fa0a01a318c55_163">
              <w:r>
                <w:rPr>
                  <w:rStyle w:val="InternetLink"/>
                  <w:rFonts w:ascii="Times New Roman;sans-serif" w:hAnsi="Times New Roman;sans-serif"/>
                  <w:b w:val="false"/>
                  <w:color w:val="000080"/>
                  <w:sz w:val="18"/>
                  <w:u w:val="single"/>
                </w:rPr>
                <w: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1ae226876884df5aa3fa0a01a318c55_163">
              <w:r>
                <w:rPr>
                  <w:rStyle w:val="InternetLink"/>
                  <w:rFonts w:ascii="Times New Roman;sans-serif" w:hAnsi="Times New Roman;sans-serif"/>
                  <w:b w:val="false"/>
                  <w:strike w:val="false"/>
                  <w:dstrike w:val="false"/>
                  <w:color w:val="000000"/>
                  <w:sz w:val="18"/>
                  <w:u w:val="none"/>
                  <w:effect w:val="none"/>
                </w:rPr>
                <w:t>2</w:t>
              </w:r>
            </w:hyperlink>
          </w:p>
        </w:tc>
      </w:tr>
      <w:tr>
        <w:trPr/>
        <w:tc>
          <w:tcPr>
            <w:tcW w:w="825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ia1ae226876884df5aa3fa0a01a318c55_169">
              <w:r>
                <w:rPr>
                  <w:rStyle w:val="InternetLink"/>
                  <w:rFonts w:ascii="Times New Roman;sans-serif" w:hAnsi="Times New Roman;sans-serif"/>
                  <w:b w:val="false"/>
                  <w:color w:val="000080"/>
                  <w:sz w:val="18"/>
                  <w:u w:val="single"/>
                </w:rPr>
                <w:t>C</w:t>
              </w:r>
            </w:hyperlink>
            <w:hyperlink w:anchor="ia1ae226876884df5aa3fa0a01a318c55_169">
              <w:r>
                <w:rPr>
                  <w:rStyle w:val="InternetLink"/>
                  <w:rFonts w:ascii="Times New Roman;sans-serif" w:hAnsi="Times New Roman;sans-serif"/>
                  <w:b w:val="false"/>
                  <w:color w:val="000080"/>
                  <w:sz w:val="18"/>
                  <w:u w:val="single"/>
                </w:rPr>
                <w:t>ondensed consolidated statements of operations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1ae226876884df5aa3fa0a01a318c55_169">
              <w:r>
                <w:rPr>
                  <w:rStyle w:val="InternetLink"/>
                  <w:rFonts w:ascii="Times New Roman;sans-serif" w:hAnsi="Times New Roman;sans-serif"/>
                  <w:b w:val="false"/>
                  <w:strike w:val="false"/>
                  <w:dstrike w:val="false"/>
                  <w:color w:val="000000"/>
                  <w:sz w:val="18"/>
                  <w:u w:val="none"/>
                  <w:effect w:val="none"/>
                </w:rPr>
                <w:t>3</w:t>
              </w:r>
            </w:hyperlink>
          </w:p>
        </w:tc>
      </w:tr>
      <w:tr>
        <w:trPr/>
        <w:tc>
          <w:tcPr>
            <w:tcW w:w="825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ia1ae226876884df5aa3fa0a01a318c55_175">
              <w:r>
                <w:rPr>
                  <w:rStyle w:val="InternetLink"/>
                  <w:rFonts w:ascii="Times New Roman;sans-serif" w:hAnsi="Times New Roman;sans-serif"/>
                  <w:b w:val="false"/>
                  <w:color w:val="000080"/>
                  <w:sz w:val="18"/>
                  <w:u w:val="single"/>
                </w:rPr>
                <w:t>C</w:t>
              </w:r>
            </w:hyperlink>
            <w:hyperlink w:anchor="ia1ae226876884df5aa3fa0a01a318c55_175">
              <w:r>
                <w:rPr>
                  <w:rStyle w:val="InternetLink"/>
                  <w:rFonts w:ascii="Times New Roman;sans-serif" w:hAnsi="Times New Roman;sans-serif"/>
                  <w:b w:val="false"/>
                  <w:color w:val="000080"/>
                  <w:sz w:val="18"/>
                  <w:u w:val="single"/>
                </w:rPr>
                <w:t xml:space="preserve">ondensed consolidated statements of comprehensive income </w:t>
              </w:r>
            </w:hyperlink>
            <w:hyperlink w:anchor="ia1ae226876884df5aa3fa0a01a318c55_175">
              <w:r>
                <w:rPr>
                  <w:rStyle w:val="InternetLink"/>
                  <w:rFonts w:ascii="Times New Roman;sans-serif" w:hAnsi="Times New Roman;sans-serif"/>
                  <w:b w:val="false"/>
                  <w:color w:val="000080"/>
                  <w:sz w:val="18"/>
                  <w:u w:val="single"/>
                </w:rPr>
                <w:t>(</w:t>
              </w:r>
            </w:hyperlink>
            <w:hyperlink w:anchor="ia1ae226876884df5aa3fa0a01a318c55_175">
              <w:r>
                <w:rPr>
                  <w:rStyle w:val="InternetLink"/>
                  <w:rFonts w:ascii="Times New Roman;sans-serif" w:hAnsi="Times New Roman;sans-serif"/>
                  <w:b w:val="false"/>
                  <w:color w:val="000080"/>
                  <w:sz w:val="18"/>
                  <w:u w:val="single"/>
                </w:rPr>
                <w:t>loss)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1ae226876884df5aa3fa0a01a318c55_175">
              <w:r>
                <w:rPr>
                  <w:rStyle w:val="InternetLink"/>
                  <w:rFonts w:ascii="Times New Roman;sans-serif" w:hAnsi="Times New Roman;sans-serif"/>
                  <w:b w:val="false"/>
                  <w:strike w:val="false"/>
                  <w:dstrike w:val="false"/>
                  <w:color w:val="000000"/>
                  <w:sz w:val="18"/>
                  <w:u w:val="none"/>
                  <w:effect w:val="none"/>
                </w:rPr>
                <w:t>4</w:t>
              </w:r>
            </w:hyperlink>
          </w:p>
        </w:tc>
      </w:tr>
      <w:tr>
        <w:trPr/>
        <w:tc>
          <w:tcPr>
            <w:tcW w:w="825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ia1ae226876884df5aa3fa0a01a318c55_181">
              <w:r>
                <w:rPr>
                  <w:rStyle w:val="InternetLink"/>
                  <w:rFonts w:ascii="Times New Roman;sans-serif" w:hAnsi="Times New Roman;sans-serif"/>
                  <w:b w:val="false"/>
                  <w:color w:val="000080"/>
                  <w:sz w:val="18"/>
                  <w:u w:val="single"/>
                </w:rPr>
                <w:t>C</w:t>
              </w:r>
            </w:hyperlink>
            <w:hyperlink w:anchor="ia1ae226876884df5aa3fa0a01a318c55_181">
              <w:r>
                <w:rPr>
                  <w:rStyle w:val="InternetLink"/>
                  <w:rFonts w:ascii="Times New Roman;sans-serif" w:hAnsi="Times New Roman;sans-serif"/>
                  <w:b w:val="false"/>
                  <w:color w:val="000080"/>
                  <w:sz w:val="18"/>
                  <w:u w:val="single"/>
                </w:rPr>
                <w:t>ondensed consolidated statements of changes in re</w:t>
              </w:r>
            </w:hyperlink>
            <w:hyperlink w:anchor="ia1ae226876884df5aa3fa0a01a318c55_181">
              <w:r>
                <w:rPr>
                  <w:rStyle w:val="InternetLink"/>
                  <w:rFonts w:ascii="Times New Roman;sans-serif" w:hAnsi="Times New Roman;sans-serif"/>
                  <w:b w:val="false"/>
                  <w:color w:val="000080"/>
                  <w:sz w:val="18"/>
                  <w:u w:val="single"/>
                </w:rPr>
                <w:t>deemable convertible preferred shares and share</w:t>
              </w:r>
            </w:hyperlink>
            <w:hyperlink w:anchor="ia1ae226876884df5aa3fa0a01a318c55_181">
              <w:r>
                <w:rPr>
                  <w:rStyle w:val="InternetLink"/>
                  <w:rFonts w:ascii="Times New Roman;sans-serif" w:hAnsi="Times New Roman;sans-serif"/>
                  <w:b w:val="false"/>
                  <w:color w:val="000080"/>
                  <w:sz w:val="18"/>
                  <w:u w:val="single"/>
                </w:rPr>
                <w:t>holders</w:t>
              </w:r>
            </w:hyperlink>
            <w:hyperlink w:anchor="ia1ae226876884df5aa3fa0a01a318c55_181">
              <w:r>
                <w:rPr>
                  <w:rStyle w:val="InternetLink"/>
                  <w:rFonts w:ascii="Times New Roman;sans-serif" w:hAnsi="Times New Roman;sans-serif"/>
                  <w:b w:val="false"/>
                  <w:color w:val="000080"/>
                  <w:sz w:val="18"/>
                  <w:u w:val="single"/>
                </w:rPr>
                <w:t>’</w:t>
              </w:r>
            </w:hyperlink>
            <w:hyperlink w:anchor="ia1ae226876884df5aa3fa0a01a318c55_181">
              <w:r>
                <w:rPr>
                  <w:rStyle w:val="InternetLink"/>
                  <w:rFonts w:ascii="Times New Roman;sans-serif" w:hAnsi="Times New Roman;sans-serif"/>
                  <w:b w:val="false"/>
                  <w:color w:val="000080"/>
                  <w:sz w:val="18"/>
                  <w:u w:val="single"/>
                </w:rPr>
                <w:t xml:space="preserve"> equity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1ae226876884df5aa3fa0a01a318c55_181">
              <w:r>
                <w:rPr>
                  <w:rStyle w:val="InternetLink"/>
                  <w:rFonts w:ascii="Times New Roman;sans-serif" w:hAnsi="Times New Roman;sans-serif"/>
                  <w:b w:val="false"/>
                  <w:strike w:val="false"/>
                  <w:dstrike w:val="false"/>
                  <w:color w:val="000000"/>
                  <w:sz w:val="18"/>
                  <w:u w:val="none"/>
                  <w:effect w:val="none"/>
                </w:rPr>
                <w:t>5</w:t>
              </w:r>
            </w:hyperlink>
          </w:p>
        </w:tc>
      </w:tr>
      <w:tr>
        <w:trPr/>
        <w:tc>
          <w:tcPr>
            <w:tcW w:w="825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ia1ae226876884df5aa3fa0a01a318c55_190">
              <w:r>
                <w:rPr>
                  <w:rStyle w:val="InternetLink"/>
                  <w:rFonts w:ascii="Times New Roman;sans-serif" w:hAnsi="Times New Roman;sans-serif"/>
                  <w:b w:val="false"/>
                  <w:color w:val="000080"/>
                  <w:sz w:val="18"/>
                  <w:u w:val="single"/>
                </w:rPr>
                <w:t>C</w:t>
              </w:r>
            </w:hyperlink>
            <w:hyperlink w:anchor="ia1ae226876884df5aa3fa0a01a318c55_190">
              <w:r>
                <w:rPr>
                  <w:rStyle w:val="InternetLink"/>
                  <w:rFonts w:ascii="Times New Roman;sans-serif" w:hAnsi="Times New Roman;sans-serif"/>
                  <w:b w:val="false"/>
                  <w:color w:val="000080"/>
                  <w:sz w:val="18"/>
                  <w:u w:val="single"/>
                </w:rPr>
                <w:t>ondensed consolidated statements of cash flows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1ae226876884df5aa3fa0a01a318c55_190">
              <w:r>
                <w:rPr>
                  <w:rStyle w:val="InternetLink"/>
                  <w:rFonts w:ascii="Times New Roman;sans-serif" w:hAnsi="Times New Roman;sans-serif"/>
                  <w:b w:val="false"/>
                  <w:strike w:val="false"/>
                  <w:dstrike w:val="false"/>
                  <w:color w:val="000000"/>
                  <w:sz w:val="18"/>
                  <w:u w:val="none"/>
                  <w:effect w:val="none"/>
                </w:rPr>
                <w:t>7</w:t>
              </w:r>
            </w:hyperlink>
          </w:p>
        </w:tc>
      </w:tr>
      <w:tr>
        <w:trPr/>
        <w:tc>
          <w:tcPr>
            <w:tcW w:w="8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a1ae226876884df5aa3fa0a01a318c55_196">
              <w:r>
                <w:rPr>
                  <w:rStyle w:val="InternetLink"/>
                  <w:rFonts w:ascii="Times New Roman;sans-serif" w:hAnsi="Times New Roman;sans-serif"/>
                  <w:b w:val="false"/>
                  <w:color w:val="000080"/>
                  <w:sz w:val="18"/>
                  <w:u w:val="single"/>
                </w:rPr>
                <w:t>N</w:t>
              </w:r>
            </w:hyperlink>
            <w:hyperlink w:anchor="ia1ae226876884df5aa3fa0a01a318c55_196">
              <w:r>
                <w:rPr>
                  <w:rStyle w:val="InternetLink"/>
                  <w:rFonts w:ascii="Times New Roman;sans-serif" w:hAnsi="Times New Roman;sans-serif"/>
                  <w:b w:val="false"/>
                  <w:color w:val="000080"/>
                  <w:sz w:val="18"/>
                  <w:u w:val="single"/>
                </w:rPr>
                <w:t>otes to the consolidated fin</w:t>
              </w:r>
            </w:hyperlink>
            <w:hyperlink w:anchor="ia1ae226876884df5aa3fa0a01a318c55_196">
              <w:r>
                <w:rPr>
                  <w:rStyle w:val="InternetLink"/>
                  <w:rFonts w:ascii="Times New Roman;sans-serif" w:hAnsi="Times New Roman;sans-serif"/>
                  <w:b w:val="false"/>
                  <w:color w:val="000080"/>
                  <w:sz w:val="18"/>
                  <w:u w:val="single"/>
                </w:rPr>
                <w:t>ancial statements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1ae226876884df5aa3fa0a01a318c55_196">
              <w:r>
                <w:rPr>
                  <w:rStyle w:val="InternetLink"/>
                  <w:rFonts w:ascii="Times New Roman;sans-serif" w:hAnsi="Times New Roman;sans-serif"/>
                  <w:b w:val="false"/>
                  <w:strike w:val="false"/>
                  <w:dstrike w:val="false"/>
                  <w:color w:val="000000"/>
                  <w:sz w:val="18"/>
                  <w:u w:val="none"/>
                  <w:effect w:val="none"/>
                </w:rPr>
                <w:t>9</w:t>
              </w:r>
            </w:hyperlink>
          </w:p>
        </w:tc>
      </w:tr>
      <w:tr>
        <w:trPr/>
        <w:tc>
          <w:tcPr>
            <w:tcW w:w="82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1ae226876884df5aa3fa0a01a318c55_28">
              <w:r>
                <w:rPr>
                  <w:rStyle w:val="InternetLink"/>
                  <w:rFonts w:ascii="Times New Roman;sans-serif" w:hAnsi="Times New Roman;sans-serif"/>
                  <w:b w:val="false"/>
                  <w:color w:val="000080"/>
                  <w:sz w:val="18"/>
                  <w:u w:val="single"/>
                </w:rPr>
                <w:t>Item 2. Managemen</w:t>
              </w:r>
            </w:hyperlink>
            <w:hyperlink w:anchor="ia1ae226876884df5aa3fa0a01a318c55_28">
              <w:r>
                <w:rPr>
                  <w:rStyle w:val="InternetLink"/>
                  <w:rFonts w:ascii="Times New Roman;sans-serif" w:hAnsi="Times New Roman;sans-serif"/>
                  <w:b w:val="false"/>
                  <w:color w:val="000080"/>
                  <w:sz w:val="18"/>
                  <w:u w:val="single"/>
                </w:rPr>
                <w:t>t</w:t>
              </w:r>
            </w:hyperlink>
            <w:hyperlink w:anchor="ia1ae226876884df5aa3fa0a01a318c55_28">
              <w:r>
                <w:rPr>
                  <w:rStyle w:val="InternetLink"/>
                  <w:rFonts w:ascii="Times New Roman;sans-serif" w:hAnsi="Times New Roman;sans-serif"/>
                  <w:b w:val="false"/>
                  <w:color w:val="000080"/>
                  <w:sz w:val="18"/>
                  <w:u w:val="single"/>
                </w:rPr>
                <w:t>’</w:t>
              </w:r>
            </w:hyperlink>
            <w:hyperlink w:anchor="ia1ae226876884df5aa3fa0a01a318c55_28">
              <w:r>
                <w:rPr>
                  <w:rStyle w:val="InternetLink"/>
                  <w:rFonts w:ascii="Times New Roman;sans-serif" w:hAnsi="Times New Roman;sans-serif"/>
                  <w:b w:val="false"/>
                  <w:color w:val="000080"/>
                  <w:sz w:val="18"/>
                  <w:u w:val="single"/>
                </w:rPr>
                <w:t>s Discussion and Analysis of Financial Condition and Results of Operations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1ae226876884df5aa3fa0a01a318c55_28">
              <w:r>
                <w:rPr>
                  <w:rStyle w:val="InternetLink"/>
                  <w:rFonts w:ascii="Times New Roman;sans-serif" w:hAnsi="Times New Roman;sans-serif"/>
                  <w:b w:val="false"/>
                  <w:strike w:val="false"/>
                  <w:dstrike w:val="false"/>
                  <w:color w:val="000000"/>
                  <w:sz w:val="18"/>
                  <w:u w:val="none"/>
                  <w:effect w:val="none"/>
                </w:rPr>
                <w:t>26</w:t>
              </w:r>
            </w:hyperlink>
          </w:p>
        </w:tc>
      </w:tr>
      <w:tr>
        <w:trPr/>
        <w:tc>
          <w:tcPr>
            <w:tcW w:w="82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1ae226876884df5aa3fa0a01a318c55_94">
              <w:r>
                <w:rPr>
                  <w:rStyle w:val="InternetLink"/>
                  <w:rFonts w:ascii="Times New Roman;sans-serif" w:hAnsi="Times New Roman;sans-serif"/>
                  <w:b w:val="false"/>
                  <w:color w:val="0000FF"/>
                  <w:sz w:val="18"/>
                  <w:u w:val="single"/>
                </w:rPr>
                <w:t>Item 3. Quantitative and Qualitative Disclosures About Market Risk</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1ae226876884df5aa3fa0a01a318c55_94">
              <w:r>
                <w:rPr>
                  <w:rStyle w:val="InternetLink"/>
                  <w:rFonts w:ascii="Times New Roman;sans-serif" w:hAnsi="Times New Roman;sans-serif"/>
                  <w:b w:val="false"/>
                  <w:strike w:val="false"/>
                  <w:dstrike w:val="false"/>
                  <w:color w:val="000000"/>
                  <w:sz w:val="18"/>
                  <w:u w:val="none"/>
                  <w:effect w:val="none"/>
                </w:rPr>
                <w:t>41</w:t>
              </w:r>
            </w:hyperlink>
          </w:p>
        </w:tc>
      </w:tr>
      <w:tr>
        <w:trPr/>
        <w:tc>
          <w:tcPr>
            <w:tcW w:w="82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1ae226876884df5aa3fa0a01a318c55_109">
              <w:r>
                <w:rPr>
                  <w:rStyle w:val="InternetLink"/>
                  <w:rFonts w:ascii="Times New Roman;sans-serif" w:hAnsi="Times New Roman;sans-serif"/>
                  <w:b w:val="false"/>
                  <w:color w:val="0000FF"/>
                  <w:sz w:val="18"/>
                  <w:u w:val="single"/>
                </w:rPr>
                <w:t>Item 4. Controls and Procedures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1ae226876884df5aa3fa0a01a318c55_109">
              <w:r>
                <w:rPr>
                  <w:rStyle w:val="InternetLink"/>
                  <w:rFonts w:ascii="Times New Roman;sans-serif" w:hAnsi="Times New Roman;sans-serif"/>
                  <w:b w:val="false"/>
                  <w:strike w:val="false"/>
                  <w:dstrike w:val="false"/>
                  <w:color w:val="000000"/>
                  <w:sz w:val="18"/>
                  <w:u w:val="none"/>
                  <w:effect w:val="none"/>
                </w:rPr>
                <w:t>41</w:t>
              </w:r>
            </w:hyperlink>
          </w:p>
        </w:tc>
      </w:tr>
      <w:tr>
        <w:trPr/>
        <w:tc>
          <w:tcPr>
            <w:tcW w:w="82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1ae226876884df5aa3fa0a01a318c55_100">
              <w:r>
                <w:rPr>
                  <w:rStyle w:val="InternetLink"/>
                  <w:rFonts w:ascii="Times New Roman;sans-serif" w:hAnsi="Times New Roman;sans-serif"/>
                  <w:b w:val="false"/>
                  <w:color w:val="0000FF"/>
                  <w:sz w:val="18"/>
                  <w:u w:val="single"/>
                </w:rPr>
                <w:t>Part II - Other Information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1ae226876884df5aa3fa0a01a318c55_100">
              <w:r>
                <w:rPr>
                  <w:rStyle w:val="InternetLink"/>
                  <w:rFonts w:ascii="Times New Roman;sans-serif" w:hAnsi="Times New Roman;sans-serif"/>
                  <w:b w:val="false"/>
                  <w:strike w:val="false"/>
                  <w:dstrike w:val="false"/>
                  <w:color w:val="000000"/>
                  <w:sz w:val="18"/>
                  <w:u w:val="none"/>
                  <w:effect w:val="none"/>
                </w:rPr>
                <w:t>42</w:t>
              </w:r>
            </w:hyperlink>
          </w:p>
        </w:tc>
      </w:tr>
      <w:tr>
        <w:trPr/>
        <w:tc>
          <w:tcPr>
            <w:tcW w:w="82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1ae226876884df5aa3fa0a01a318c55_103">
              <w:r>
                <w:rPr>
                  <w:rStyle w:val="InternetLink"/>
                  <w:rFonts w:ascii="Times New Roman;sans-serif" w:hAnsi="Times New Roman;sans-serif"/>
                  <w:b w:val="false"/>
                  <w:color w:val="0000FF"/>
                  <w:sz w:val="18"/>
                  <w:u w:val="single"/>
                </w:rPr>
                <w:t>Item 1. Legal Proceedings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1ae226876884df5aa3fa0a01a318c55_103">
              <w:r>
                <w:rPr>
                  <w:rStyle w:val="InternetLink"/>
                  <w:rFonts w:ascii="Times New Roman;sans-serif" w:hAnsi="Times New Roman;sans-serif"/>
                  <w:b w:val="false"/>
                  <w:strike w:val="false"/>
                  <w:dstrike w:val="false"/>
                  <w:color w:val="000000"/>
                  <w:sz w:val="18"/>
                  <w:u w:val="none"/>
                  <w:effect w:val="none"/>
                </w:rPr>
                <w:t>42</w:t>
              </w:r>
            </w:hyperlink>
          </w:p>
        </w:tc>
      </w:tr>
      <w:tr>
        <w:trPr/>
        <w:tc>
          <w:tcPr>
            <w:tcW w:w="82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1ae226876884df5aa3fa0a01a318c55_106">
              <w:r>
                <w:rPr>
                  <w:rStyle w:val="InternetLink"/>
                  <w:rFonts w:ascii="Times New Roman;sans-serif" w:hAnsi="Times New Roman;sans-serif"/>
                  <w:b w:val="false"/>
                  <w:color w:val="0000FF"/>
                  <w:sz w:val="18"/>
                  <w:u w:val="single"/>
                </w:rPr>
                <w:t>Item 1A. Risk Factors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1ae226876884df5aa3fa0a01a318c55_106">
              <w:r>
                <w:rPr>
                  <w:rStyle w:val="InternetLink"/>
                  <w:rFonts w:ascii="Times New Roman;sans-serif" w:hAnsi="Times New Roman;sans-serif"/>
                  <w:b w:val="false"/>
                  <w:strike w:val="false"/>
                  <w:dstrike w:val="false"/>
                  <w:color w:val="000000"/>
                  <w:sz w:val="18"/>
                  <w:u w:val="none"/>
                  <w:effect w:val="none"/>
                </w:rPr>
                <w:t>42</w:t>
              </w:r>
            </w:hyperlink>
          </w:p>
        </w:tc>
      </w:tr>
      <w:tr>
        <w:trPr/>
        <w:tc>
          <w:tcPr>
            <w:tcW w:w="82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1ae226876884df5aa3fa0a01a318c55_112">
              <w:r>
                <w:rPr>
                  <w:rStyle w:val="InternetLink"/>
                  <w:rFonts w:ascii="Times New Roman;sans-serif" w:hAnsi="Times New Roman;sans-serif"/>
                  <w:b w:val="false"/>
                  <w:color w:val="0000FF"/>
                  <w:sz w:val="18"/>
                  <w:u w:val="single"/>
                </w:rPr>
                <w:t>Item 2. Unregistered Sales of Equity Securities and Use of Proceeds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1ae226876884df5aa3fa0a01a318c55_112">
              <w:r>
                <w:rPr>
                  <w:rStyle w:val="InternetLink"/>
                  <w:rFonts w:ascii="Times New Roman;sans-serif" w:hAnsi="Times New Roman;sans-serif"/>
                  <w:b w:val="false"/>
                  <w:strike w:val="false"/>
                  <w:dstrike w:val="false"/>
                  <w:color w:val="000000"/>
                  <w:sz w:val="18"/>
                  <w:u w:val="none"/>
                  <w:effect w:val="none"/>
                </w:rPr>
                <w:t>42</w:t>
              </w:r>
            </w:hyperlink>
          </w:p>
        </w:tc>
      </w:tr>
      <w:tr>
        <w:trPr/>
        <w:tc>
          <w:tcPr>
            <w:tcW w:w="82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1ae226876884df5aa3fa0a01a318c55_115">
              <w:r>
                <w:rPr>
                  <w:rStyle w:val="InternetLink"/>
                  <w:rFonts w:ascii="Times New Roman;sans-serif" w:hAnsi="Times New Roman;sans-serif"/>
                  <w:b w:val="false"/>
                  <w:color w:val="0000FF"/>
                  <w:sz w:val="18"/>
                  <w:u w:val="single"/>
                </w:rPr>
                <w:t>Item 3. Defaults Upon Senior Securities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1ae226876884df5aa3fa0a01a318c55_115">
              <w:r>
                <w:rPr>
                  <w:rStyle w:val="InternetLink"/>
                  <w:rFonts w:ascii="Times New Roman;sans-serif" w:hAnsi="Times New Roman;sans-serif"/>
                  <w:b w:val="false"/>
                  <w:strike w:val="false"/>
                  <w:dstrike w:val="false"/>
                  <w:color w:val="000000"/>
                  <w:sz w:val="18"/>
                  <w:u w:val="none"/>
                  <w:effect w:val="none"/>
                </w:rPr>
                <w:t>43</w:t>
              </w:r>
            </w:hyperlink>
          </w:p>
        </w:tc>
      </w:tr>
      <w:tr>
        <w:trPr/>
        <w:tc>
          <w:tcPr>
            <w:tcW w:w="82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1ae226876884df5aa3fa0a01a318c55_118">
              <w:r>
                <w:rPr>
                  <w:rStyle w:val="InternetLink"/>
                  <w:rFonts w:ascii="Times New Roman;sans-serif" w:hAnsi="Times New Roman;sans-serif"/>
                  <w:b w:val="false"/>
                  <w:color w:val="0000FF"/>
                  <w:sz w:val="18"/>
                  <w:u w:val="single"/>
                </w:rPr>
                <w:t>Item 4. Mine Safety Disclosures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1ae226876884df5aa3fa0a01a318c55_118">
              <w:r>
                <w:rPr>
                  <w:rStyle w:val="InternetLink"/>
                  <w:rFonts w:ascii="Times New Roman;sans-serif" w:hAnsi="Times New Roman;sans-serif"/>
                  <w:b w:val="false"/>
                  <w:strike w:val="false"/>
                  <w:dstrike w:val="false"/>
                  <w:color w:val="000000"/>
                  <w:sz w:val="18"/>
                  <w:u w:val="none"/>
                  <w:effect w:val="none"/>
                </w:rPr>
                <w:t>43</w:t>
              </w:r>
            </w:hyperlink>
          </w:p>
        </w:tc>
      </w:tr>
      <w:tr>
        <w:trPr/>
        <w:tc>
          <w:tcPr>
            <w:tcW w:w="82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1ae226876884df5aa3fa0a01a318c55_1478">
              <w:r>
                <w:rPr>
                  <w:rStyle w:val="InternetLink"/>
                  <w:rFonts w:ascii="Times New Roman;sans-serif" w:hAnsi="Times New Roman;sans-serif"/>
                  <w:b w:val="false"/>
                  <w:color w:val="0000FF"/>
                  <w:sz w:val="18"/>
                  <w:u w:val="single"/>
                </w:rPr>
                <w:t>Item 5. Other Information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1ae226876884df5aa3fa0a01a318c55_1478">
              <w:r>
                <w:rPr>
                  <w:rStyle w:val="InternetLink"/>
                  <w:rFonts w:ascii="Times New Roman;sans-serif" w:hAnsi="Times New Roman;sans-serif"/>
                  <w:b w:val="false"/>
                  <w:strike w:val="false"/>
                  <w:dstrike w:val="false"/>
                  <w:color w:val="000000"/>
                  <w:sz w:val="18"/>
                  <w:u w:val="none"/>
                  <w:effect w:val="none"/>
                </w:rPr>
                <w:t>43</w:t>
              </w:r>
            </w:hyperlink>
          </w:p>
        </w:tc>
      </w:tr>
      <w:tr>
        <w:trPr/>
        <w:tc>
          <w:tcPr>
            <w:tcW w:w="82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1ae226876884df5aa3fa0a01a318c55_151">
              <w:r>
                <w:rPr>
                  <w:rStyle w:val="InternetLink"/>
                  <w:rFonts w:ascii="Times New Roman;sans-serif" w:hAnsi="Times New Roman;sans-serif"/>
                  <w:b w:val="false"/>
                  <w:color w:val="0000FF"/>
                  <w:sz w:val="18"/>
                  <w:u w:val="single"/>
                </w:rPr>
                <w:t>Item 6. Exhibits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1ae226876884df5aa3fa0a01a318c55_151">
              <w:r>
                <w:rPr>
                  <w:rStyle w:val="InternetLink"/>
                  <w:rFonts w:ascii="Times New Roman;sans-serif" w:hAnsi="Times New Roman;sans-serif"/>
                  <w:b w:val="false"/>
                  <w:strike w:val="false"/>
                  <w:dstrike w:val="false"/>
                  <w:color w:val="000000"/>
                  <w:sz w:val="18"/>
                  <w:u w:val="none"/>
                  <w:effect w:val="none"/>
                </w:rPr>
                <w:t>43</w:t>
              </w:r>
            </w:hyperlink>
          </w:p>
        </w:tc>
      </w:tr>
      <w:tr>
        <w:trPr/>
        <w:tc>
          <w:tcPr>
            <w:tcW w:w="82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1ae226876884df5aa3fa0a01a318c55_154">
              <w:r>
                <w:rPr>
                  <w:rStyle w:val="InternetLink"/>
                  <w:rFonts w:ascii="Times New Roman;sans-serif" w:hAnsi="Times New Roman;sans-serif"/>
                  <w:b w:val="false"/>
                  <w:color w:val="0000FF"/>
                  <w:sz w:val="18"/>
                  <w:u w:val="single"/>
                </w:rPr>
                <w:t>Signatures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1ae226876884df5aa3fa0a01a318c55_154">
              <w:r>
                <w:rPr>
                  <w:rStyle w:val="InternetLink"/>
                  <w:rFonts w:ascii="Times New Roman;sans-serif" w:hAnsi="Times New Roman;sans-serif"/>
                  <w:b w:val="false"/>
                  <w:strike w:val="false"/>
                  <w:dstrike w:val="false"/>
                  <w:color w:val="000000"/>
                  <w:sz w:val="18"/>
                  <w:u w:val="none"/>
                  <w:effect w:val="none"/>
                </w:rPr>
                <w:t>44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1445"/>
                <wp:effectExtent l="0" t="0" r="0" b="0"/>
                <wp:wrapNone/>
                <wp:docPr id="2" name="Frame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1ae226876884df5aa3fa0a01a318c5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SPECIAL NOTE REGARDING FORWARD-LOOKING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This Quarterly Report contains forward-looking statements that involve substantial risks and uncertainties. The Private Securities Litigation Reform Act of 1995, or the PSLRA, provides safe harbor protections for forward-looking statements in order to encourage companies to provide prospective information about their business. Forward-looking statements include, without limitation, our expectations concerning the outlook for our business, productivity, plans and goals for future operational improvements and capital investments, operational performance, future market conditions or economic performance and developments in the capital and credit markets and expected future financial performance, as well as any information concerning possible or assumed future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Pagaya desires to take advantage of the safe harbor provisions of the PSLRA and is including this cautionary statement in connection with this safe harbor legislation. All statements other than statements of historical facts contained in this Annual Report, including statements regarding our future financial position, business strategy and plans and objectives of management for future operations, are forward-looking statements. In some cases, you can identify forward-looking statements by words such as “estimate,” “plan,” “project,” “forecast,” “intend,” “expect,” “anticipate,” “believe,” “seek,” “strategy,” “future,” “opportunity,” “may,” “target,” “should,” “will,” “would,” “will be,” “will continue,” “will likely result,” or similar expressions that predict or indicate future events or trends or that are not statements of historical matters.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Forward-looking statements involve a number of risks, uncertainties and assumptions, and actual results or events may differ materially from those implied in those statements. Important factors that could cause such differences include, but are not limited to:</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18"/>
        </w:rPr>
        <w:t>the ability to implement business plans and other expectations;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18"/>
        </w:rPr>
        <w:t>the impact of the continuation of or changes in the short-term and long-term interest rate environment;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18"/>
        </w:rPr>
        <w:t>uncertain market or political conditions;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18"/>
        </w:rPr>
        <w:t>the availability and cost of capital, including the financing of risk retention investments;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18"/>
        </w:rPr>
        <w:t>our ability to service our debt financing and meet associated covenants;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18"/>
        </w:rPr>
        <w:t>our ability to develop and maintain a diverse and robust funding network;</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18"/>
        </w:rPr>
        <w:t>the impact of fair value changes in our risk retention investments in our Financing Vehicles;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18"/>
        </w:rPr>
        <w:t>our uncertain future prospects and rate of growth due to our relatively limited operating history;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18"/>
        </w:rPr>
        <w:t>the performance of our technology to consistently meet return expectations of asset investors in Financing Vehicles;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18"/>
        </w:rPr>
        <w:t>our ability to improve, operate and implement our AI technology, including as we expand into new asset classes;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18"/>
        </w:rPr>
        <w:t>competition in attracting and onboarding new Partners and raising capital from asset investors through Financing Vehicles given the current limited number of Partners that account for a substantial portion of the total number of the financial products facilitated with the assistance of our AI technology;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18"/>
        </w:rPr>
        <w:t>potential difficulties in retaining our current management team and other key employees and independent contractors, including highly-skilled technical experts;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18"/>
        </w:rPr>
        <w:t>our estimates of our future financial performance;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18"/>
        </w:rPr>
        <w:t>changes in the political, legal and regulatory framework related to AI technology, machine learning; financial institutions and consumer protection;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18"/>
        </w:rPr>
        <w:t>the impact of health epidemics, including the ongoing COVID-19 pandemic;</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18"/>
        </w:rPr>
        <w:t xml:space="preserve">our ability to realize the potential benefits of past or future acquisitions;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18"/>
        </w:rPr>
        <w:t>conditions related to our operations in Israel;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3"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ii</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1ae226876884df5aa3fa0a01a318c5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18"/>
        </w:rPr>
        <w:t>risks related to data, security and privacy;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18"/>
        </w:rPr>
        <w:t>changes to accounting principles and guidelines;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18"/>
        </w:rPr>
        <w:t>our ability to develop and maintain effective internal controls;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18"/>
        </w:rPr>
        <w:t>the ability to maintain the listing of our securities on Nasdaq;</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18"/>
        </w:rPr>
        <w:t>the price of our securities has been and may continue to be volatile;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18"/>
        </w:rPr>
        <w:t xml:space="preserve">unexpected costs or expenses;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18"/>
        </w:rPr>
        <w:t>future issuances, sales or resales of our Class A Ordinary Shares;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18"/>
        </w:rPr>
        <w:t>an active public trading market for our Class A Ordinary Shares may not be sustained;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18"/>
        </w:rPr>
        <w:t>the other matters described in “</w:t>
      </w:r>
      <w:r>
        <w:rPr>
          <w:rFonts w:ascii="Times New Roman;sans-serif" w:hAnsi="Times New Roman;sans-serif"/>
          <w:b w:val="false"/>
          <w:i/>
          <w:color w:val="000000"/>
          <w:sz w:val="18"/>
        </w:rPr>
        <w:t>Risk Factors</w:t>
      </w:r>
      <w:r>
        <w:rPr>
          <w:color w:val="000000"/>
        </w:rPr>
        <w:t xml:space="preserve">” </w:t>
      </w:r>
      <w:r>
        <w:rPr>
          <w:rFonts w:ascii="Times New Roman;sans-serif" w:hAnsi="Times New Roman;sans-serif"/>
          <w:b w:val="false"/>
          <w:color w:val="000000"/>
          <w:sz w:val="18"/>
        </w:rPr>
        <w:t>in our Annual Report on Form 10-K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We caution you not to rely on forward-looking statements, which reflect current beliefs and are based on information currently available as of the date a forward-looking statement is made. Forward-looking statements set forth herein speak only as of the date of this Annual Report. We undertake no obligation to revise forward-looking statements to reflect future events, changes in circumstances or changes in beliefs except to the extent required by law. In the event that any forward-looking statement is updated, no inference should be made that we will make additional updates with respect to that statement, related matters, or any other forward-looking statements except to the extent required by law. Any corrections or revisions and other important assumptions and factors that could cause actual results to differ materially from forward-looking statements, including discussions of significant risk factors, may appear in our public filings with the SEC, which are or will be (as appropriate) accessible at www.sec.gov, and which you are advised to consult.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8"/>
        </w:rPr>
        <w:t>Market, ranking and industry data used throughout this Annual Report, including statements regarding market size and technology adoption rates, is based on the good faith estimates of our management, which in turn are based upon our management’s review of internal surveys, independent industry surveys and publications and other third-party research and publicly available information. These data involve a number of assumptions and limitations, and you are cautioned not to give undue weight to such estimates. While we are not aware of any misstatements regarding the industry data presented herein, its estimates involve risks and uncertainties and are subject to change based on various factors, including those discussed under “</w:t>
      </w:r>
      <w:r>
        <w:rPr>
          <w:rFonts w:ascii="Times New Roman;sans-serif" w:hAnsi="Times New Roman;sans-serif"/>
          <w:b w:val="false"/>
          <w:i/>
          <w:color w:val="000000"/>
          <w:sz w:val="18"/>
        </w:rPr>
        <w:t>Risk Factors</w:t>
      </w:r>
      <w:r>
        <w:rPr>
          <w:color w:val="000000"/>
        </w:rPr>
        <w:t xml:space="preserve">” </w:t>
      </w:r>
      <w:r>
        <w:rPr>
          <w:rFonts w:ascii="Times New Roman;sans-serif" w:hAnsi="Times New Roman;sans-serif"/>
          <w:b w:val="false"/>
          <w:color w:val="000000"/>
          <w:sz w:val="18"/>
        </w:rPr>
        <w:t>in our Annual Report on Form 10-K, which was filed with the SEC on April 25, 2024, and “</w:t>
      </w:r>
      <w:r>
        <w:rPr>
          <w:rFonts w:ascii="Times New Roman;sans-serif" w:hAnsi="Times New Roman;sans-serif"/>
          <w:b w:val="false"/>
          <w:i/>
          <w:color w:val="000000"/>
          <w:sz w:val="18"/>
        </w:rPr>
        <w:t xml:space="preserve">Item 2—Management’s </w:t>
      </w:r>
      <w:hyperlink w:anchor="ia1ae226876884df5aa3fa0a01a318c55_28">
        <w:r>
          <w:rPr>
            <w:rStyle w:val="InternetLink"/>
            <w:rFonts w:ascii="Times New Roman;sans-serif" w:hAnsi="Times New Roman;sans-serif"/>
            <w:b w:val="false"/>
            <w:i/>
            <w:strike w:val="false"/>
            <w:dstrike w:val="false"/>
            <w:color w:val="000000"/>
            <w:sz w:val="18"/>
            <w:u w:val="none"/>
            <w:effect w:val="none"/>
          </w:rPr>
          <w:t>Discussion and Analysis of Financial Condition and Results of Operations</w:t>
        </w:r>
      </w:hyperlink>
      <w:r>
        <w:rPr>
          <w:color w:val="000000"/>
        </w:rPr>
        <w:t xml:space="preserve">” </w:t>
      </w:r>
      <w:r>
        <w:rPr>
          <w:rFonts w:ascii="Times New Roman;sans-serif" w:hAnsi="Times New Roman;sans-serif"/>
          <w:b w:val="false"/>
          <w:color w:val="000000"/>
          <w:sz w:val="18"/>
        </w:rPr>
        <w:t>of this Quarterly Report.</w:t>
      </w:r>
    </w:p>
    <w:p>
      <w:pPr>
        <w:pStyle w:val="TextBody"/>
        <w:bidi w:val="0"/>
        <w:spacing w:before="0" w:after="0"/>
        <w:jc w:val="both"/>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iii</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1ae226876884df5aa3fa0a01a318c5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5"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1ae226876884df5aa3fa0a01a318c55_7">
        <w:r>
          <w:rPr>
            <w:rStyle w:val="InternetLink"/>
            <w:rFonts w:ascii="Times New Roman;sans-serif" w:hAnsi="Times New Roman;sans-serif"/>
            <w:b w:val="false"/>
            <w:color w:val="0000FF"/>
            <w:sz w:val="18"/>
            <w:u w:val="single"/>
          </w:rPr>
          <w:t>Table of Contents</w:t>
        </w:r>
      </w:hyperlink>
    </w:p>
    <w:p>
      <w:pPr>
        <w:pStyle w:val="TextBody"/>
        <w:bidi w:val="0"/>
        <w:spacing w:lineRule="auto" w:line="268"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PAGAYA TECHNOLOGIES LTD. </w:t>
      </w:r>
    </w:p>
    <w:p>
      <w:pPr>
        <w:pStyle w:val="TextBody"/>
        <w:bidi w:val="0"/>
        <w:spacing w:lineRule="auto" w:line="268" w:before="0" w:after="0"/>
        <w:jc w:val="left"/>
        <w:rPr>
          <w:rFonts w:ascii="Times New Roman;sans-serif" w:hAnsi="Times New Roman;sans-serif"/>
          <w:b/>
          <w:color w:val="000000"/>
          <w:sz w:val="18"/>
        </w:rPr>
      </w:pPr>
      <w:r>
        <w:rPr>
          <w:rFonts w:ascii="Times New Roman;sans-serif" w:hAnsi="Times New Roman;sans-serif"/>
          <w:b/>
          <w:color w:val="000000"/>
          <w:sz w:val="18"/>
        </w:rPr>
        <w:t>CONDENSED CONSOLIDATED BALANCE SHEETS (UNAUDITED)</w:t>
      </w:r>
    </w:p>
    <w:p>
      <w:pPr>
        <w:pStyle w:val="TextBody"/>
        <w:bidi w:val="0"/>
        <w:spacing w:lineRule="auto" w:line="268" w:before="0" w:after="0"/>
        <w:jc w:val="left"/>
        <w:rPr>
          <w:rFonts w:ascii="Times New Roman;sans-serif" w:hAnsi="Times New Roman;sans-serif"/>
          <w:b/>
          <w:color w:val="000000"/>
          <w:sz w:val="18"/>
        </w:rPr>
      </w:pPr>
      <w:r>
        <w:rPr>
          <w:rFonts w:ascii="Times New Roman;sans-serif" w:hAnsi="Times New Roman;sans-serif"/>
          <w:b/>
          <w:color w:val="000000"/>
          <w:sz w:val="18"/>
        </w:rPr>
        <w:t>(In thousands, except share amounts)</w:t>
      </w:r>
    </w:p>
    <w:tbl>
      <w:tblPr>
        <w:tblW w:w="10205" w:type="dxa"/>
        <w:jc w:val="left"/>
        <w:tblInd w:w="0" w:type="dxa"/>
        <w:tblLayout w:type="fixed"/>
        <w:tblCellMar>
          <w:top w:w="28" w:type="dxa"/>
          <w:left w:w="28" w:type="dxa"/>
          <w:bottom w:w="28" w:type="dxa"/>
          <w:right w:w="28" w:type="dxa"/>
        </w:tblCellMar>
      </w:tblPr>
      <w:tblGrid>
        <w:gridCol w:w="2955"/>
        <w:gridCol w:w="2530"/>
        <w:gridCol w:w="2565"/>
        <w:gridCol w:w="166"/>
        <w:gridCol w:w="616"/>
        <w:gridCol w:w="109"/>
        <w:gridCol w:w="109"/>
        <w:gridCol w:w="109"/>
        <w:gridCol w:w="109"/>
        <w:gridCol w:w="166"/>
        <w:gridCol w:w="616"/>
        <w:gridCol w:w="155"/>
      </w:tblGrid>
      <w:tr>
        <w:trPr/>
        <w:tc>
          <w:tcPr>
            <w:tcW w:w="2955" w:type="dxa"/>
            <w:tcBorders/>
            <w:vAlign w:val="center"/>
          </w:tcPr>
          <w:p>
            <w:pPr>
              <w:pStyle w:val="TableContents"/>
              <w:bidi w:val="0"/>
              <w:spacing w:before="0" w:after="283"/>
              <w:jc w:val="left"/>
              <w:rPr>
                <w:sz w:val="4"/>
                <w:szCs w:val="4"/>
              </w:rPr>
            </w:pPr>
            <w:r>
              <w:rPr>
                <w:sz w:val="4"/>
                <w:szCs w:val="4"/>
              </w:rPr>
            </w:r>
          </w:p>
        </w:tc>
        <w:tc>
          <w:tcPr>
            <w:tcW w:w="2530"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December 31,</w:t>
            </w:r>
          </w:p>
        </w:tc>
      </w:tr>
      <w:tr>
        <w:trPr/>
        <w:tc>
          <w:tcPr>
            <w:tcW w:w="8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2023</w:t>
            </w:r>
          </w:p>
        </w:tc>
      </w:tr>
      <w:tr>
        <w:trPr/>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Assets</w:t>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Current assets:</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Cash and cash equivalents</w:t>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274,495 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186,478 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Restricted cash</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16,874 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Fees and other receivables (including related party receivables of $53,916 and $51,036 as of March 31, 2024 and December 31, 2023, respectively)</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87,370 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79,526 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Investments in loans and securities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Prepaid expenses and other current assets (including related party assets of $7,090 and $7,896 as of March 31, 2024 and December 31, 2023, respectively)</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18,034 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Total current assets</w:t>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399,094 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303,402 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Restricted cash</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19,189 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Fees and other receivables (including related party receivables of $34,792 and $33,739 as of March 31, 2024 and December 31, 2023, respectively)</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35,230 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34,181 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Investments in loans and securities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892,853 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714,303 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Equity method and other investments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26,383 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Right-of-use assets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53,631 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55,729 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Property and equipment, net</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42,757 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41,557 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Goodwill</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10,945 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Intangible assets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Prepaid expenses and other assets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Total non-current assets</w:t>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1,084,093 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904,974 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Total Assets</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1,483,187 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1,208,376 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Liabilities and Shareholders’ Equity</w:t>
            </w:r>
          </w:p>
        </w:tc>
        <w:tc>
          <w:tcPr>
            <w:tcW w:w="8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Current liabilities:</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Accounts payable</w:t>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 xml:space="preserve">Accrued expenses and other liabilities </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36,712 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28,562 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Current maturities of operating lease liabilities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6,931 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Current portion of long-term debt</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Secured borrowing</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108,054 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37,685 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Income taxes payable</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Total current liabilities</w:t>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169,384 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74,925 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Non-current liabilities:</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Warrant liability</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3,242 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Revolving credit facility</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90,000 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Long-term debt</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222,298 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Secured borrowing</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223,102 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234,028 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Operating lease liabilities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41,838 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43,940 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Long-term tax liabilities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22,135 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Deferred tax liabilities, net</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Total non-current liabilities</w:t>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513,642 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393,452 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Total Liabilities</w:t>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683,026 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468,377 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Redeemable convertible preferred shares, no par value, 6,666,666 shares authorized, 5,000,000 shares issued and outstanding as of March 31, 2024; aggregate liquidation preference of $150,000 as of March 31, 2024. (1)</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74,250 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74,250.00 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Shareholders’ equity:</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Class A ordinary shares, no par value, 666,666,666 shares authorized, 57,950,053 and 49,390,936 shares issued and outstanding as of March 31, 2024 and December 31, 2023, respectively. (1)</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Class B ordinary shares, no par value, 166,666,666 shares authorized, 12,652,310 and 12,652,310 shares issued and outstanding as of March 31, 2024 and December 31, 2023, respectively. (1)</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Additional paid-in capital</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1,214,969 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1,101,914 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Accumulated other comprehensive income (loss)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Accumulated deficit</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(563,860)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(542,637)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Total Pagaya Technologies Ltd. shareholders’ equity</w:t>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626,830 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559,721 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Noncontrolling interests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99,081 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106,028 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Total shareholders’ equity</w:t>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725,911 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665,749 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Total Liabilities, Redeemable Convertible Preferred Shares, and Shareholders’ Equity</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1,483,187 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1,208,376 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(1) Share amounts have been retroactively adjusted to reflect the 1-for-12 reverse share split effected on March 8, 2024. </w:t>
      </w:r>
    </w:p>
    <w:p>
      <w:pPr>
        <w:pStyle w:val="TextBody"/>
        <w:bidi w:val="0"/>
        <w:spacing w:lineRule="auto" w:line="333"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1ae226876884df5aa3fa0a01a318c55_7">
        <w:r>
          <w:rPr>
            <w:rStyle w:val="InternetLink"/>
            <w:rFonts w:ascii="Times New Roman;sans-serif" w:hAnsi="Times New Roman;sans-serif"/>
            <w:b w:val="false"/>
            <w:color w:val="0000FF"/>
            <w:sz w:val="18"/>
            <w:u w:val="single"/>
          </w:rPr>
          <w:t>Table of Contents</w:t>
        </w:r>
      </w:hyperlink>
    </w:p>
    <w:p>
      <w:pPr>
        <w:pStyle w:val="TextBody"/>
        <w:bidi w:val="0"/>
        <w:spacing w:lineRule="auto" w:line="319"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PAGAYA TECHNOLOGIES LTD. </w:t>
      </w:r>
    </w:p>
    <w:p>
      <w:pPr>
        <w:pStyle w:val="TextBody"/>
        <w:bidi w:val="0"/>
        <w:spacing w:lineRule="auto" w:line="312" w:before="0" w:after="0"/>
        <w:jc w:val="left"/>
        <w:rPr>
          <w:rFonts w:ascii="Times New Roman;sans-serif" w:hAnsi="Times New Roman;sans-serif"/>
          <w:b/>
          <w:color w:val="000000"/>
          <w:sz w:val="18"/>
        </w:rPr>
      </w:pPr>
      <w:r>
        <w:rPr>
          <w:rFonts w:ascii="Times New Roman;sans-serif" w:hAnsi="Times New Roman;sans-serif"/>
          <w:b/>
          <w:color w:val="000000"/>
          <w:sz w:val="18"/>
        </w:rPr>
        <w:t>CONDENSED CONSOLIDATED STATEMENTS OF OPERATIONS (UNAUDITED)</w:t>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(In thousands, except share and per share data)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72"/>
        <w:gridCol w:w="2299"/>
        <w:gridCol w:w="2332"/>
        <w:gridCol w:w="209"/>
        <w:gridCol w:w="775"/>
        <w:gridCol w:w="113"/>
        <w:gridCol w:w="113"/>
        <w:gridCol w:w="113"/>
        <w:gridCol w:w="113"/>
        <w:gridCol w:w="209"/>
        <w:gridCol w:w="775"/>
        <w:gridCol w:w="113"/>
        <w:gridCol w:w="109"/>
        <w:gridCol w:w="160"/>
      </w:tblGrid>
      <w:tr>
        <w:trPr/>
        <w:tc>
          <w:tcPr>
            <w:tcW w:w="2772"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233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w:t>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Revenue from fees (including related party revenues of $178,511 and $153,793 for the three months ended March 31, 2024 and 2023, respectively)</w:t>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237,004 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175,254 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Income</w:t>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10,397 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income (loss) (1)</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Revenue and Other Income</w:t>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245,276 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186,638 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Production costs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144,881 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125,057 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 data and product development</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19,380 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21,131 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63,068 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51,126 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Costs and Operating Expenses</w:t>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237,586 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211,614 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Income (Loss)</w:t>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(24,976)</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(expenses), net</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(34,349)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(66,980)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(Loss) Before Income Taxes</w:t>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(26,659)</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(91,956)</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 (benefit)</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Loss Including Noncontrolling Interests</w:t>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(31,662)</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(98,623)</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(loss) attributable to noncontrolling interests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(37,652)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 Attributable to Pagaya Technologies Ltd.</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(21,223)</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(60,971)</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Per share data:</w:t>
            </w:r>
          </w:p>
        </w:tc>
        <w:tc>
          <w:tcPr>
            <w:tcW w:w="10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03"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03"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03"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03"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 per share attributable to Pagaya Technologies Ltd.:</w:t>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 (2)</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03"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03"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03"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03"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03"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 average shares outstanding:</w:t>
            </w:r>
          </w:p>
        </w:tc>
        <w:tc>
          <w:tcPr>
            <w:tcW w:w="10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 (2)</w:t>
            </w:r>
          </w:p>
        </w:tc>
        <w:tc>
          <w:tcPr>
            <w:tcW w:w="98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64,504,458 </w:t>
            </w:r>
          </w:p>
        </w:tc>
        <w:tc>
          <w:tcPr>
            <w:tcW w:w="1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59,255,864 </w:t>
            </w:r>
          </w:p>
        </w:tc>
        <w:tc>
          <w:tcPr>
            <w:tcW w:w="1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03"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 Includes income from proprietary investments. </w:t>
      </w:r>
    </w:p>
    <w:p>
      <w:pPr>
        <w:pStyle w:val="TextBody"/>
        <w:bidi w:val="0"/>
        <w:spacing w:lineRule="auto" w:line="31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(2) Share amounts have been retroactively adjusted to reflect the 1-for-12 reverse share split effected on March 8, 2024. </w:t>
      </w:r>
    </w:p>
    <w:p>
      <w:pPr>
        <w:pStyle w:val="TextBody"/>
        <w:bidi w:val="0"/>
        <w:spacing w:before="0" w:after="0"/>
        <w:jc w:val="left"/>
        <w:rPr/>
      </w:pPr>
      <w:r>
        <w:rPr/>
      </w:r>
    </w:p>
    <w:p>
      <w:pPr>
        <w:pStyle w:val="TextBody"/>
        <w:bidi w:val="0"/>
        <w:spacing w:lineRule="auto" w:line="333"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1ae226876884df5aa3fa0a01a318c55_7">
        <w:r>
          <w:rPr>
            <w:rStyle w:val="InternetLink"/>
            <w:rFonts w:ascii="Times New Roman;sans-serif" w:hAnsi="Times New Roman;sans-serif"/>
            <w:b w:val="false"/>
            <w:color w:val="0000FF"/>
            <w:sz w:val="18"/>
            <w:u w:val="single"/>
          </w:rPr>
          <w:t>Table of Contents</w:t>
        </w:r>
      </w:hyperlink>
    </w:p>
    <w:p>
      <w:pPr>
        <w:pStyle w:val="TextBody"/>
        <w:bidi w:val="0"/>
        <w:spacing w:lineRule="auto" w:line="276"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PAGAYA TECHNOLOGIES LTD. </w:t>
      </w:r>
    </w:p>
    <w:p>
      <w:pPr>
        <w:pStyle w:val="TextBody"/>
        <w:bidi w:val="0"/>
        <w:spacing w:lineRule="auto" w:line="268" w:before="0" w:after="0"/>
        <w:jc w:val="left"/>
        <w:rPr>
          <w:rFonts w:ascii="Times New Roman;sans-serif" w:hAnsi="Times New Roman;sans-serif"/>
          <w:b/>
          <w:color w:val="000000"/>
          <w:sz w:val="18"/>
        </w:rPr>
      </w:pPr>
      <w:r>
        <w:rPr>
          <w:rFonts w:ascii="Times New Roman;sans-serif" w:hAnsi="Times New Roman;sans-serif"/>
          <w:b/>
          <w:color w:val="000000"/>
          <w:sz w:val="18"/>
        </w:rPr>
        <w:t>CONDENSED CONSOLIDATED STATEMENTS OF COMPREHENSIVE LOSS (UNAUDITED)</w:t>
      </w:r>
    </w:p>
    <w:p>
      <w:pPr>
        <w:pStyle w:val="TextBody"/>
        <w:bidi w:val="0"/>
        <w:spacing w:lineRule="auto" w:line="268" w:before="0" w:after="0"/>
        <w:jc w:val="left"/>
        <w:rPr>
          <w:rFonts w:ascii="Times New Roman;sans-serif" w:hAnsi="Times New Roman;sans-serif"/>
          <w:b/>
          <w:color w:val="000000"/>
          <w:sz w:val="18"/>
        </w:rPr>
      </w:pPr>
      <w:r>
        <w:rPr>
          <w:rFonts w:ascii="Times New Roman;sans-serif" w:hAnsi="Times New Roman;sans-serif"/>
          <w:b/>
          <w:color w:val="000000"/>
          <w:sz w:val="18"/>
        </w:rPr>
        <w:t>(In thousands)</w:t>
      </w:r>
    </w:p>
    <w:p>
      <w:pPr>
        <w:pStyle w:val="TextBody"/>
        <w:bidi w:val="0"/>
        <w:spacing w:before="0" w:after="0"/>
        <w:jc w:val="left"/>
        <w:rPr/>
      </w:pPr>
      <w:r>
        <w:rPr/>
      </w:r>
    </w:p>
    <w:tbl>
      <w:tblPr>
        <w:tblW w:w="9783" w:type="dxa"/>
        <w:jc w:val="left"/>
        <w:tblInd w:w="0" w:type="dxa"/>
        <w:tblLayout w:type="fixed"/>
        <w:tblCellMar>
          <w:top w:w="28" w:type="dxa"/>
          <w:left w:w="28" w:type="dxa"/>
          <w:bottom w:w="28" w:type="dxa"/>
          <w:right w:w="28" w:type="dxa"/>
        </w:tblCellMar>
      </w:tblPr>
      <w:tblGrid>
        <w:gridCol w:w="1945"/>
        <w:gridCol w:w="1709"/>
        <w:gridCol w:w="1716"/>
        <w:gridCol w:w="109"/>
        <w:gridCol w:w="109"/>
        <w:gridCol w:w="226"/>
        <w:gridCol w:w="226"/>
        <w:gridCol w:w="406"/>
        <w:gridCol w:w="1495"/>
        <w:gridCol w:w="226"/>
        <w:gridCol w:w="109"/>
        <w:gridCol w:w="109"/>
        <w:gridCol w:w="109"/>
        <w:gridCol w:w="196"/>
        <w:gridCol w:w="721"/>
        <w:gridCol w:w="109"/>
        <w:gridCol w:w="109"/>
        <w:gridCol w:w="154"/>
      </w:tblGrid>
      <w:tr>
        <w:trPr/>
        <w:tc>
          <w:tcPr>
            <w:tcW w:w="1945"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9"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616" w:type="dxa"/>
            <w:gridSpan w:val="8"/>
            <w:tcBorders/>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Loss Including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(31,662)</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(loss) on securities available for sale,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(21,531)</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Comprehensive Loss Including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(53,193)</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Comprehensive income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(7,247)</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Comprehensive Loss Attributable to Pagaya Technologies Ltd.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(45,946)</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(61,517)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33"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1ae226876884df5aa3fa0a01a318c55_7">
        <w:r>
          <w:rPr>
            <w:rStyle w:val="InternetLink"/>
            <w:rFonts w:ascii="Times New Roman;sans-serif" w:hAnsi="Times New Roman;sans-serif"/>
            <w:b w:val="false"/>
            <w:color w:val="0000FF"/>
            <w:sz w:val="18"/>
            <w:u w:val="single"/>
          </w:rPr>
          <w:t>Table of Contents</w:t>
        </w:r>
      </w:hyperlink>
    </w:p>
    <w:p>
      <w:pPr>
        <w:pStyle w:val="TextBody"/>
        <w:bidi w:val="0"/>
        <w:spacing w:lineRule="auto" w:line="312"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PAGAYA TECHNOLOGIES LTD. </w:t>
      </w:r>
    </w:p>
    <w:p>
      <w:pPr>
        <w:pStyle w:val="TextBody"/>
        <w:bidi w:val="0"/>
        <w:spacing w:lineRule="auto" w:line="312" w:before="0" w:after="0"/>
        <w:jc w:val="left"/>
        <w:rPr>
          <w:rFonts w:ascii="Times New Roman;sans-serif" w:hAnsi="Times New Roman;sans-serif"/>
          <w:b/>
          <w:color w:val="000000"/>
          <w:sz w:val="18"/>
        </w:rPr>
      </w:pPr>
      <w:r>
        <w:rPr>
          <w:rFonts w:ascii="Times New Roman;sans-serif" w:hAnsi="Times New Roman;sans-serif"/>
          <w:b/>
          <w:color w:val="000000"/>
          <w:sz w:val="18"/>
        </w:rPr>
        <w:t>CONDENSED CONSOLIDATED STATEMENT OF CHANGES IN REDEEMABLE CONVERTIBLE PREFERRED SHARES AND SHAREHOLDERS’ EQUITY (UNAUDITED)</w:t>
      </w:r>
    </w:p>
    <w:p>
      <w:pPr>
        <w:pStyle w:val="TextBody"/>
        <w:bidi w:val="0"/>
        <w:spacing w:lineRule="auto" w:line="312"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(In thousands, except share amounts) </w:t>
      </w:r>
    </w:p>
    <w:tbl>
      <w:tblPr>
        <w:tblW w:w="13845" w:type="dxa"/>
        <w:jc w:val="left"/>
        <w:tblInd w:w="0" w:type="dxa"/>
        <w:tblLayout w:type="fixed"/>
        <w:tblCellMar>
          <w:top w:w="28" w:type="dxa"/>
          <w:left w:w="28" w:type="dxa"/>
          <w:bottom w:w="28" w:type="dxa"/>
          <w:right w:w="28" w:type="dxa"/>
        </w:tblCellMar>
      </w:tblPr>
      <w:tblGrid>
        <w:gridCol w:w="548"/>
        <w:gridCol w:w="311"/>
        <w:gridCol w:w="312"/>
        <w:gridCol w:w="221"/>
        <w:gridCol w:w="211"/>
        <w:gridCol w:w="109"/>
        <w:gridCol w:w="109"/>
        <w:gridCol w:w="109"/>
        <w:gridCol w:w="109"/>
        <w:gridCol w:w="196"/>
        <w:gridCol w:w="406"/>
        <w:gridCol w:w="109"/>
        <w:gridCol w:w="109"/>
        <w:gridCol w:w="109"/>
        <w:gridCol w:w="109"/>
        <w:gridCol w:w="480"/>
        <w:gridCol w:w="481"/>
        <w:gridCol w:w="181"/>
        <w:gridCol w:w="109"/>
        <w:gridCol w:w="109"/>
        <w:gridCol w:w="109"/>
        <w:gridCol w:w="196"/>
        <w:gridCol w:w="406"/>
        <w:gridCol w:w="109"/>
        <w:gridCol w:w="109"/>
        <w:gridCol w:w="109"/>
        <w:gridCol w:w="109"/>
        <w:gridCol w:w="196"/>
        <w:gridCol w:w="871"/>
        <w:gridCol w:w="109"/>
        <w:gridCol w:w="109"/>
        <w:gridCol w:w="109"/>
        <w:gridCol w:w="109"/>
        <w:gridCol w:w="245"/>
        <w:gridCol w:w="714"/>
        <w:gridCol w:w="137"/>
        <w:gridCol w:w="109"/>
        <w:gridCol w:w="109"/>
        <w:gridCol w:w="109"/>
        <w:gridCol w:w="196"/>
        <w:gridCol w:w="751"/>
        <w:gridCol w:w="109"/>
        <w:gridCol w:w="109"/>
        <w:gridCol w:w="109"/>
        <w:gridCol w:w="109"/>
        <w:gridCol w:w="196"/>
        <w:gridCol w:w="736"/>
        <w:gridCol w:w="109"/>
        <w:gridCol w:w="109"/>
        <w:gridCol w:w="109"/>
        <w:gridCol w:w="109"/>
        <w:gridCol w:w="220"/>
        <w:gridCol w:w="827"/>
        <w:gridCol w:w="124"/>
        <w:gridCol w:w="109"/>
        <w:gridCol w:w="109"/>
        <w:gridCol w:w="109"/>
        <w:gridCol w:w="196"/>
        <w:gridCol w:w="736"/>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Redeemable Convertible Preferred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 xml:space="preserve">Ordinary Shares </w:t>
              <w:br/>
              <w:t>(Class A and Class B)</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Retained Earnings (Accumulated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Total Pagaya Technologies Ltd. Shareholders’ Equity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Non-Controlling Interests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Total Shareholders’ Equity</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top w:val="single" w:sz="1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Shares (1)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Shares (1)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 December 31, 2022</w:t>
            </w:r>
          </w:p>
        </w:tc>
        <w:tc>
          <w:tcPr>
            <w:tcW w:w="4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56,942,632 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968,432 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(713)</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(414,199)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211,903 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765,423 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ordinary shares upon exercise of warrants</w:t>
            </w:r>
          </w:p>
        </w:tc>
        <w:tc>
          <w:tcPr>
            <w:tcW w:w="4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16,304 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ordinary shares upon exercise of share options</w:t>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171,609 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ordinary shares upon vesting of RSUs</w:t>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27,079 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ordinary shares in connection with the acquisition of Darwin Homes, Inc.</w:t>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1,515,145 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of interests in consolidated VIEs</w:t>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10,128 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Return of capital to interests in consolidated VIEs</w:t>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(12,194)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w:t>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16,338 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(37,652)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(98,623)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 March 31, 2023</w:t>
            </w:r>
          </w:p>
        </w:tc>
        <w:tc>
          <w:tcPr>
            <w:tcW w:w="43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58,672,769 </w:t>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1,004,346 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(1,259)</w:t>
            </w:r>
          </w:p>
        </w:tc>
        <w:tc>
          <w:tcPr>
            <w:tcW w:w="1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(475,170)</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527,917 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188,523 </w:t>
            </w:r>
          </w:p>
        </w:tc>
        <w:tc>
          <w:tcPr>
            <w:tcW w:w="1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716,440 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1ae226876884df5aa3fa0a01a318c55_7">
        <w:r>
          <w:rPr>
            <w:rStyle w:val="InternetLink"/>
            <w:rFonts w:ascii="Times New Roman;sans-serif" w:hAnsi="Times New Roman;sans-serif"/>
            <w:b w:val="false"/>
            <w:color w:val="0000FF"/>
            <w:sz w:val="18"/>
            <w:u w:val="single"/>
          </w:rPr>
          <w:t>Table of Contents</w:t>
        </w:r>
      </w:hyperlink>
    </w:p>
    <w:tbl>
      <w:tblPr>
        <w:tblW w:w="14115" w:type="dxa"/>
        <w:jc w:val="left"/>
        <w:tblInd w:w="0" w:type="dxa"/>
        <w:tblLayout w:type="fixed"/>
        <w:tblCellMar>
          <w:top w:w="28" w:type="dxa"/>
          <w:left w:w="28" w:type="dxa"/>
          <w:bottom w:w="28" w:type="dxa"/>
          <w:right w:w="28" w:type="dxa"/>
        </w:tblCellMar>
      </w:tblPr>
      <w:tblGrid>
        <w:gridCol w:w="548"/>
        <w:gridCol w:w="311"/>
        <w:gridCol w:w="312"/>
        <w:gridCol w:w="218"/>
        <w:gridCol w:w="188"/>
        <w:gridCol w:w="165"/>
        <w:gridCol w:w="109"/>
        <w:gridCol w:w="109"/>
        <w:gridCol w:w="109"/>
        <w:gridCol w:w="196"/>
        <w:gridCol w:w="646"/>
        <w:gridCol w:w="109"/>
        <w:gridCol w:w="109"/>
        <w:gridCol w:w="109"/>
        <w:gridCol w:w="109"/>
        <w:gridCol w:w="480"/>
        <w:gridCol w:w="481"/>
        <w:gridCol w:w="181"/>
        <w:gridCol w:w="109"/>
        <w:gridCol w:w="109"/>
        <w:gridCol w:w="109"/>
        <w:gridCol w:w="196"/>
        <w:gridCol w:w="406"/>
        <w:gridCol w:w="109"/>
        <w:gridCol w:w="109"/>
        <w:gridCol w:w="109"/>
        <w:gridCol w:w="109"/>
        <w:gridCol w:w="196"/>
        <w:gridCol w:w="871"/>
        <w:gridCol w:w="109"/>
        <w:gridCol w:w="109"/>
        <w:gridCol w:w="109"/>
        <w:gridCol w:w="109"/>
        <w:gridCol w:w="222"/>
        <w:gridCol w:w="749"/>
        <w:gridCol w:w="125"/>
        <w:gridCol w:w="109"/>
        <w:gridCol w:w="109"/>
        <w:gridCol w:w="109"/>
        <w:gridCol w:w="196"/>
        <w:gridCol w:w="751"/>
        <w:gridCol w:w="109"/>
        <w:gridCol w:w="109"/>
        <w:gridCol w:w="109"/>
        <w:gridCol w:w="109"/>
        <w:gridCol w:w="196"/>
        <w:gridCol w:w="736"/>
        <w:gridCol w:w="109"/>
        <w:gridCol w:w="109"/>
        <w:gridCol w:w="109"/>
        <w:gridCol w:w="109"/>
        <w:gridCol w:w="220"/>
        <w:gridCol w:w="827"/>
        <w:gridCol w:w="124"/>
        <w:gridCol w:w="109"/>
        <w:gridCol w:w="109"/>
        <w:gridCol w:w="109"/>
        <w:gridCol w:w="196"/>
        <w:gridCol w:w="736"/>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Redeemable Convertible Preferred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 xml:space="preserve">Ordinary Shares </w:t>
              <w:br/>
              <w:t>(Class A and Class B)</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Retained Earnings (Accumulated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Total Pagaya Technologies Ltd. Shareholders’ Equity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Non-Controlling Interests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Total Shareholders’ Equity</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top w:val="single" w:sz="1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Shares (1)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Shares (1)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16"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 December 31, 2023</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62,043,246 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1,101,914 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(542,637)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559,721 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106,028 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665,749 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ordinary shares upon exercise of share options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100,613 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ordinary shares upon vesting of RSUs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660,447 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ordinary shares, net of issuance cost of $5,312</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89,938 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ordinary shares from the Equity Financing Purchase Agreement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298,057 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of interests in consolidated VIEs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Return of capital to interests in consolidated VIEs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(24,723)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(10,439)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16"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 March 31, 2024</w:t>
            </w:r>
          </w:p>
        </w:tc>
        <w:tc>
          <w:tcPr>
            <w:tcW w:w="4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74,250 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70,602,363 </w:t>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1,214,969 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(24,279)</w:t>
            </w:r>
          </w:p>
        </w:tc>
        <w:tc>
          <w:tcPr>
            <w:tcW w:w="1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(563,860)</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626,830 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99,081 </w:t>
            </w:r>
          </w:p>
        </w:tc>
        <w:tc>
          <w:tcPr>
            <w:tcW w:w="1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725,911 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 Share amounts have been retroactively adjusted to reflect the 1-for-12 reverse share split effected on March 8, 2024. </w:t>
      </w:r>
    </w:p>
    <w:p>
      <w:pPr>
        <w:pStyle w:val="TextBody"/>
        <w:bidi w:val="0"/>
        <w:spacing w:before="0" w:after="0"/>
        <w:jc w:val="left"/>
        <w:rPr/>
      </w:pPr>
      <w:r>
        <w:rPr/>
      </w:r>
    </w:p>
    <w:p>
      <w:pPr>
        <w:pStyle w:val="TextBody"/>
        <w:bidi w:val="0"/>
        <w:spacing w:lineRule="auto" w:line="333"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0"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1ae226876884df5aa3fa0a01a318c55_7">
        <w:r>
          <w:rPr>
            <w:rStyle w:val="InternetLink"/>
            <w:rFonts w:ascii="Times New Roman;sans-serif" w:hAnsi="Times New Roman;sans-serif"/>
            <w:b w:val="false"/>
            <w:color w:val="0000FF"/>
            <w:sz w:val="18"/>
            <w:u w:val="single"/>
          </w:rPr>
          <w:t>Table of Contents</w:t>
        </w:r>
      </w:hyperlink>
    </w:p>
    <w:p>
      <w:pPr>
        <w:pStyle w:val="TextBody"/>
        <w:bidi w:val="0"/>
        <w:spacing w:lineRule="auto" w:line="312"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PAGAYA TECHNOLOGIES LTD. </w:t>
      </w:r>
    </w:p>
    <w:p>
      <w:pPr>
        <w:pStyle w:val="TextBody"/>
        <w:bidi w:val="0"/>
        <w:spacing w:lineRule="auto" w:line="312" w:before="0" w:after="0"/>
        <w:jc w:val="left"/>
        <w:rPr>
          <w:rFonts w:ascii="Times New Roman;sans-serif" w:hAnsi="Times New Roman;sans-serif"/>
          <w:b/>
          <w:color w:val="000000"/>
          <w:sz w:val="18"/>
        </w:rPr>
      </w:pPr>
      <w:r>
        <w:rPr>
          <w:rFonts w:ascii="Times New Roman;sans-serif" w:hAnsi="Times New Roman;sans-serif"/>
          <w:b/>
          <w:color w:val="000000"/>
          <w:sz w:val="18"/>
        </w:rPr>
        <w:t>CONDENSED CONSOLIDATED STATEMENTS OF CASH FLOWS (UNAUDITED)</w:t>
      </w:r>
    </w:p>
    <w:p>
      <w:pPr>
        <w:pStyle w:val="TextBody"/>
        <w:bidi w:val="0"/>
        <w:spacing w:lineRule="auto" w:line="312" w:before="0" w:after="0"/>
        <w:jc w:val="left"/>
        <w:rPr/>
      </w:pPr>
      <w:r>
        <w:rPr>
          <w:rFonts w:ascii="Times New Roman;sans-serif" w:hAnsi="Times New Roman;sans-serif"/>
          <w:b/>
          <w:color w:val="000000"/>
          <w:sz w:val="18"/>
        </w:rPr>
        <w:t>(In thousands)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2789"/>
        <w:gridCol w:w="2315"/>
        <w:gridCol w:w="2333"/>
        <w:gridCol w:w="203"/>
        <w:gridCol w:w="765"/>
        <w:gridCol w:w="112"/>
        <w:gridCol w:w="112"/>
        <w:gridCol w:w="112"/>
        <w:gridCol w:w="112"/>
        <w:gridCol w:w="203"/>
        <w:gridCol w:w="765"/>
        <w:gridCol w:w="112"/>
        <w:gridCol w:w="109"/>
        <w:gridCol w:w="163"/>
      </w:tblGrid>
      <w:tr>
        <w:trPr/>
        <w:tc>
          <w:tcPr>
            <w:tcW w:w="2789"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272" w:type="dxa"/>
            <w:gridSpan w:val="2"/>
            <w:tcBorders/>
          </w:tcPr>
          <w:p>
            <w:pPr>
              <w:pStyle w:val="TableContents"/>
              <w:bidi w:val="0"/>
              <w:spacing w:before="0" w:after="283"/>
              <w:jc w:val="left"/>
              <w:rPr>
                <w:sz w:val="4"/>
                <w:szCs w:val="4"/>
              </w:rPr>
            </w:pPr>
            <w:r>
              <w:rPr>
                <w:sz w:val="4"/>
                <w:szCs w:val="4"/>
              </w:rPr>
            </w:r>
          </w:p>
        </w:tc>
      </w:tr>
      <w:tr>
        <w:trPr/>
        <w:tc>
          <w:tcPr>
            <w:tcW w:w="7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top w:val="single" w:sz="16"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including noncontrolling interests</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(31,662)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(98,623)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(loss) to net cash used in operating activities:</w:t>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method income (loss)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15,475 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16,367 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adjustment to warrant liability</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loss on investments in loans and securities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26,851 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68,347 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Write-off of capitalized software</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non-cash items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operating assets and liabilities:</w:t>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Fees and other receivables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(8,875)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 net</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liabilities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(22,573)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receivable / payable</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(used in) operating activities</w:t>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20,470 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(23,673)</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the sale/maturity/prepayment of:</w:t>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in loans and securities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35,897 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25,985 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Cash and restricted cash acquired from Darwin Homes, Inc. </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the purchase of:</w:t>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in loans and securities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(261,638)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(121,732)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investing activities</w:t>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(230,886)</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(99,665)</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ordinary shares, net of issuance costs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89,938 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long-term debt</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244,725 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secured borrowing</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97,448 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82,031 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received from noncontrolling interests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revolving credit facility</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ordinary shares from the Equity Financing Purchase Agreement</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made to noncontrolling interests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(12,194)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made to revolving credit facility</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(134,000)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made to secured borrowing</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(38,005)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(57,425)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made to long-term debt</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issuance costs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financing activities</w:t>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298,743 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103,024 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cash equivalents and restricted cash</w:t>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cash equivalents and restricted cash</w:t>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87,507 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(20,314)</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beginning of period</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222,541 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337,076 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 end of period</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310,048 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316,762 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Reconciliation of cash, cash equivalents, and restricted cash within the consolidated balance sheet to the amounts shown in the statements of cash flow above:</w:t>
            </w:r>
          </w:p>
        </w:tc>
        <w:tc>
          <w:tcPr>
            <w:tcW w:w="10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1"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1ae226876884df5aa3fa0a01a318c55_7">
        <w:r>
          <w:rPr>
            <w:rStyle w:val="InternetLink"/>
            <w:rFonts w:ascii="Times New Roman;sans-serif" w:hAnsi="Times New Roman;sans-serif"/>
            <w:b w:val="false"/>
            <w:color w:val="0000FF"/>
            <w:sz w:val="18"/>
            <w:u w:val="single"/>
          </w:rPr>
          <w:t>Table of Contents</w:t>
        </w:r>
      </w:hyperlink>
    </w:p>
    <w:tbl>
      <w:tblPr>
        <w:tblW w:w="6152" w:type="dxa"/>
        <w:jc w:val="left"/>
        <w:tblInd w:w="0" w:type="dxa"/>
        <w:tblLayout w:type="fixed"/>
        <w:tblCellMar>
          <w:top w:w="28" w:type="dxa"/>
          <w:left w:w="28" w:type="dxa"/>
          <w:bottom w:w="28" w:type="dxa"/>
          <w:right w:w="28" w:type="dxa"/>
        </w:tblCellMar>
      </w:tblPr>
      <w:tblGrid>
        <w:gridCol w:w="1262"/>
        <w:gridCol w:w="1106"/>
        <w:gridCol w:w="1112"/>
        <w:gridCol w:w="196"/>
        <w:gridCol w:w="736"/>
        <w:gridCol w:w="109"/>
        <w:gridCol w:w="109"/>
        <w:gridCol w:w="109"/>
        <w:gridCol w:w="109"/>
        <w:gridCol w:w="196"/>
        <w:gridCol w:w="736"/>
        <w:gridCol w:w="109"/>
        <w:gridCol w:w="109"/>
        <w:gridCol w:w="154"/>
      </w:tblGrid>
      <w:tr>
        <w:trPr/>
        <w:tc>
          <w:tcPr>
            <w:tcW w:w="126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 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310,048 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316,762 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33"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2"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1ae226876884df5aa3fa0a01a318c5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 xml:space="preserve">NOTE 1 - BUSINESS DESCRIPTION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Pagaya Technologies Ltd. and its consolidated subsidiaries (together “we” “our” “Pagaya” or the “Company”) is a technology company that deploys sophisticated data science and proprietary AI technology to drive better results for financial services and other service providers, their customers, and asset investors. Services providers integrated with Pagaya’s network, which are referred to as “Partners,” range from high-growth financial technology companies to incumbent banks and financial institutions, auto finance providers and residential real estate service providers. Partners have access to Pagaya’s network in order to assist with extending financial products to their customers, in turn helping those customers fulfill their financial needs and dreams. These assets originated by Partners with the assistance of Pagaya’s AI technology are eligible to be acquired by (i) funds managed or advised by Pagaya or one of its affiliates, (ii) securitization vehicles sponsored or administered by Pagaya or one of its affiliates and (iii) other similar vehicles (“Financing Vehicles”).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Pagaya Technologies Ltd. was founded in 2016 and is organized under the laws of the State of Israel. Pagaya has its primary offices in Israel and the United States.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Reverse Share Split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Share amounts have been retrospectively adjusted to reflect the 1-for-12 reverse share split effected on March 8, 2024.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18"/>
        </w:rPr>
      </w:pPr>
      <w:r>
        <w:rPr>
          <w:rFonts w:ascii="Times New Roman;sans-serif" w:hAnsi="Times New Roman;sans-serif"/>
          <w:b/>
          <w:color w:val="000000"/>
          <w:sz w:val="18"/>
        </w:rPr>
        <w:t xml:space="preserve">NOTE 2 - SUMMARY OF SIGNIFICANT ACCOUNTING POLICIES </w:t>
      </w:r>
    </w:p>
    <w:p>
      <w:pPr>
        <w:pStyle w:val="TextBody"/>
        <w:bidi w:val="0"/>
        <w:spacing w:lineRule="auto" w:line="288" w:before="220" w:after="283"/>
        <w:jc w:val="both"/>
        <w:rPr>
          <w:rFonts w:ascii="Times New Roman;sans-serif" w:hAnsi="Times New Roman;sans-serif"/>
          <w:b/>
          <w:color w:val="000000"/>
          <w:sz w:val="18"/>
        </w:rPr>
      </w:pPr>
      <w:r>
        <w:rPr>
          <w:rFonts w:ascii="Times New Roman;sans-serif" w:hAnsi="Times New Roman;sans-serif"/>
          <w:b/>
          <w:color w:val="000000"/>
          <w:sz w:val="18"/>
        </w:rPr>
        <w:t xml:space="preserve">Basis of Presentation and Principles of Consolidation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accompanying unaudited condensed consolidated financial statements have been prepared in conformity with accounting principles generally accepted in the United States of America (“U.S. GAAP”) and include the accounts of the Company, its wholly-owned subsidiaries, and consolidated variable interest entities (“VIEs”) if any.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accompanying unaudited condensed consolidated financial statements were derived from the audited consolidated financial statements, but does not include all of the disclosures, including certain notes required by GAAP on an annual reporting basis. Certain information and note disclosures normally included in the financial statements prepared in accordance with GAAP have been condensed or omitted pursuant to such rules and regulations. Therefore, these unaudited condensed consolidated financial statements should be read in conjunction with the audited consolidated financial statements and the related notes thereto as of and for the year ended December 31, 2023 included in the Company’s Annual Report on Form 10-K.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All intercompany accounts and transactions have been eliminated. The Company’s functional and reporting currency is the U.S. Dollar. In management’s opinion, the unaudited condensed consolidated financial statements have been prepared on the same basis as the annual consolidated financial statements, except as noted below, and reflect all adjustments, which include only normal recurring adjustments necessary for the fair presentation of the Company’s financial position as of March 31, 2024 and the Company’s consolidated results of operations and shareholders’ equity for the three months ended March 31, 2024 and 2023, and cash flows for the three months ended March 31, 2024 and 2023. The results for the three months ended March 31, 2024 are not necessarily indicative of the results to be expected for the full year ending December 31, 2024 or any other future interim or annual period.</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color w:val="000000"/>
          <w:sz w:val="18"/>
        </w:rPr>
      </w:pPr>
      <w:r>
        <w:rPr>
          <w:rFonts w:ascii="Times New Roman;sans-serif" w:hAnsi="Times New Roman;sans-serif"/>
          <w:b/>
          <w:color w:val="000000"/>
          <w:sz w:val="18"/>
        </w:rPr>
        <w:t xml:space="preserve">Significant Accounting Policies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There were no material changes to our significant accounting policies as disclosed in Note 2, Summary of Significant Accounting Policies, in the Company’s Annual Report on Form 10-K for the year ended December 31, 2023, which was filed with the SEC on April 25, 2024.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Recent Accounting Pronouncements Not Yet Adopted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As an “emerging growth company,” the Jumpstart Our Business Startups Act (“JOBS Act”) allows the Company to delay adoption of new or revised accounting pronouncements applicable to public companies until such pronouncements are made applicable to private companies. The Company has elected to use this extended transition period under the JOBS Act. The adoption dates discussed below reflect this election.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 November 2023, the FASB issued ASU 2023-07, Segment Reporting (Topic 280): Improvements to Reportable Segment Disclosures. The amendments in this update improve reportable segment disclosure requirements, primarily through enhanced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3"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1ae226876884df5aa3fa0a01a318c5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disclosures about significant segment expenses. Specifically, the new guidance requires disclosure, on an annual and interim basis, of significant segment expenses that are regularly provided to the chief operating decision maker, and an amount for other segment items by reportable segment, with a description of its composition. In addition, the amendments enhance interim disclosure requirements, clarify circumstances in which an entity can disclose multiple segment measures of profit or loss, and provide new segment disclosure requirements for entities with a single reportable segment. This ASU is effective for the Company beginning in fiscal year 2024 and interim periods within fiscal year 2025, with early adoption permitted. The Company is currently evaluating the impact of the amendments to its consolidated financial statements and related disclosures.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 December 2023, the FASB issued ASU 2023-09, Income Taxes (Topic 740): Improvements to Income Tax Disclosures. The amendments in this update require entities to disclose specific categories in the effective tax rate reconciliation and provide additional information for reconciling items where the effect of those reconciling items is equal to or greater than 5% of the amount computed by multiplying pretax income/loss by the applicable statutory income tax rate. In addition, entities are required to disclose the year-to-date amount of income taxes paid (net of refunds received) disaggregated by jurisdictions. This ASU is effective for the Company for annual periods beginning after December 15, 2025, with early adoption permitted. The Company is currently evaluating the impact of these amendments on its consolidated financial statements and related disclosures.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Recent Accounting Pronouncements Adopted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 August 2020, the FASB issued ASU 2020-06, “Debt—Debt with Conversion and Other Options (Subtopic 470-20) and Derivatives and Hedging—Contracts in Entity’s Own Equity (Subtopic 815-40): Accounting for Convertible Instruments and Contracts in an Entity’s Own Equity,” which simplifies the accounting for convertible instruments. The guidance removes certain accounting models that separate the embedded conversion features from the host contract for convertible instruments. Either a modified retrospective method of transition or a fully retrospective method of transition is permissible for the adoption of this standard. The guidance became effective for the Company beginning January 1, 2024. The adoption of the guidance did not have a material impact on the Company’s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83"/>
        <w:jc w:val="both"/>
        <w:rPr>
          <w:rFonts w:ascii="Times New Roman;sans-serif" w:hAnsi="Times New Roman;sans-serif"/>
          <w:b/>
          <w:color w:val="000000"/>
          <w:sz w:val="18"/>
        </w:rPr>
      </w:pPr>
      <w:r>
        <w:rPr>
          <w:rFonts w:ascii="Times New Roman;sans-serif" w:hAnsi="Times New Roman;sans-serif"/>
          <w:b/>
          <w:color w:val="000000"/>
          <w:sz w:val="18"/>
        </w:rPr>
        <w:t>NOTE 3 - REVENUE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 xml:space="preserve">Revenue From Fees </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Revenue from fees is comprised of Network AI fees and Contract fees. Network AI fees can be further broken down into two fee streams: AI integration fees and capital markets execution fees. AI integration fees are earned for the creation and delivery of assets that comprise Network Volume. The Company utilizes multiple funding channels to enable the purchase of network assets from Partners, such as asset backed securitizations (“ABS”). Capital markets execution fees are earned from the market pricing of ABS transactions while contract fees are management, performance and similar fees. These fees are the result of agreements with customers and are recognized in accordance with FASB Accounting Standards Codification 606, “Revenue from Contracts with Customers” (“ASC 606”). </w:t>
      </w:r>
    </w:p>
    <w:p>
      <w:pPr>
        <w:pStyle w:val="TextBody"/>
        <w:bidi w:val="0"/>
        <w:spacing w:lineRule="auto" w:line="288" w:before="16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Revenue is generally recognized on a gross basis in accordance with ASC 606 related to reporting revenue on a gross basis as a principal versus on a net basis as an agent. This is because the Company is primarily responsible for integrating the various services fulfilled by Partners and is ultimately responsible to the Financing Vehicles for the fulfillment of the related services. To the extent the Company does not meet the criteria for recognizing revenue on a gross basis, the Company records revenue on a net basis.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Network AI fees, comprised of AI integration fees and capital markets execution fees, totaled $215.3 million and $150.2 million for the three months ended March 31, 2024 and 2023, respectively. The Company recognizes Network AI fees primarily at a point in time when the related performance obligation is satisfied. From time to time the Company may provide certain incentives to Financing Vehicles. When the Company determines that an incentive is consideration payable to a customer, the incentive is recorded as a reduction of revenue. Expenses to third parties for services that are integrated with the Company’s technology are recorded in the consolidated statements of operations as Production Costs.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Real estate fees, which are included in Network AI fees, are earned for the obligations to arrange for the purchase of real estate assets, provide administrative services, arrange for the eventual sale of the assets, and provide pre-and post-purchase services including the right to earn performance fees. All of these fees are recognized over time except for the purchase and sale obligations, which are satisfied at the point in time of the respective transactions. As the Company is a principal for these services, revenues are recorded on a gross basis.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4"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1ae226876884df5aa3fa0a01a318c5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Contract fees include administration and management fees, performances fees, and servicing fees. Contract fees totaled $21.7 million and $25.1 million for the three months ended March 31, 2024 and 2023, respectively. The Company recognizes administration fees over the service period for the Financing Vehicles managed or administered by the Company.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Performance fees are earned when certain Financing Vehicles exceed contractual return thresholds. They are recognized only to the extent that it is probable that a significant reversal in the amount of cumulative revenue recognized will not occur. An estimate is made by the Company based on a variety of factors including market conditions and expected loan performance. In the following period, the true performance is measured and then adjusted to ensure that the fees accurately represent actual performance. As such, there are revenues that result from performance obligations satisfied in the previous year. During the three months ended March 31, 2024, $3.3 million worth of fees represent performance obligations satisfied in 2023 that were greater than the original estimate. During the three months ended March 31, 2023, $1.7 million worth of fees represent performance obligations satisfied in 2022 that were lesser than the original estimate. </w:t>
      </w:r>
    </w:p>
    <w:p>
      <w:pPr>
        <w:pStyle w:val="TextBody"/>
        <w:bidi w:val="0"/>
        <w:spacing w:lineRule="auto" w:line="288" w:before="16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Servicing fees for the Financing Vehicles, which primarily involve collecting payments and providing reporting on the loans within the securitization vehicles, are recognized over the service period. These duties have been considered to be agent responsibilities and does not include acting as a loan servicer. Accordingly, servicing fees are recorded on a net basis. </w:t>
      </w:r>
    </w:p>
    <w:p>
      <w:pPr>
        <w:pStyle w:val="TextBody"/>
        <w:bidi w:val="0"/>
        <w:spacing w:lineRule="auto" w:line="288" w:before="16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 determines its contracts generally to not include a significant financing component since the Company's selling prices are not subjected to billing terms nor is its purpose to receive financing from its customers or to provide customers with financing. In addition, as a practical expedient, the Company does not adjust the transaction price for the effects of a significant financing component if, at contract inception, the period between payment and the transfer of services is expected to be one year or less. </w:t>
      </w:r>
    </w:p>
    <w:p>
      <w:pPr>
        <w:pStyle w:val="TextBody"/>
        <w:bidi w:val="0"/>
        <w:spacing w:lineRule="auto" w:line="288" w:before="160" w:after="160"/>
        <w:jc w:val="both"/>
        <w:rPr>
          <w:rFonts w:ascii="Times New Roman;sans-serif" w:hAnsi="Times New Roman;sans-serif"/>
          <w:b w:val="false"/>
          <w:color w:val="000000"/>
          <w:sz w:val="18"/>
        </w:rPr>
      </w:pPr>
      <w:r>
        <w:rPr>
          <w:rFonts w:ascii="Times New Roman;sans-serif" w:hAnsi="Times New Roman;sans-serif"/>
          <w:b w:val="false"/>
          <w:color w:val="000000"/>
          <w:sz w:val="18"/>
        </w:rPr>
        <w:t>Once revenue is recognized, it is recorded on the balance sheet in fees and other receivables until the payment is received from the customer. The timing of the recognition depends on the type of service as described above.  </w:t>
      </w:r>
    </w:p>
    <w:tbl>
      <w:tblPr>
        <w:tblW w:w="7172" w:type="dxa"/>
        <w:jc w:val="left"/>
        <w:tblInd w:w="0" w:type="dxa"/>
        <w:tblLayout w:type="fixed"/>
        <w:tblCellMar>
          <w:top w:w="28" w:type="dxa"/>
          <w:left w:w="28" w:type="dxa"/>
          <w:bottom w:w="28" w:type="dxa"/>
          <w:right w:w="28" w:type="dxa"/>
        </w:tblCellMar>
      </w:tblPr>
      <w:tblGrid>
        <w:gridCol w:w="994"/>
        <w:gridCol w:w="874"/>
        <w:gridCol w:w="877"/>
        <w:gridCol w:w="109"/>
        <w:gridCol w:w="109"/>
        <w:gridCol w:w="223"/>
        <w:gridCol w:w="223"/>
        <w:gridCol w:w="401"/>
        <w:gridCol w:w="1508"/>
        <w:gridCol w:w="223"/>
        <w:gridCol w:w="109"/>
        <w:gridCol w:w="109"/>
        <w:gridCol w:w="109"/>
        <w:gridCol w:w="196"/>
        <w:gridCol w:w="736"/>
        <w:gridCol w:w="109"/>
        <w:gridCol w:w="109"/>
        <w:gridCol w:w="154"/>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8"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631" w:type="dxa"/>
            <w:gridSpan w:val="8"/>
            <w:tcBorders/>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1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5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Services transferred at a point in time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227,575 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Services transferred over time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 from fees,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237,004 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175,254 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had no material contract assets, contract liabilities, or deferred contract costs recorded as of March 31, 2024 or December 31,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Concentrations of Credit Risk and Significant Customers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Financial instruments, which potentially subject the Company to concentration of credit risk, consist primarily of cash and cash equivalents, restricted cash and fees receivable. Cash and cash equivalents are principally maintained with major financial institutions, which management assesses to be of high credit quality. The Company has not experienced any losses on these deposits.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Company’s fees receivable balances are predominantly with agreements with customers, and these are subject to normal credit risks which management believes to be not significant.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Significant customers are those which represent 10% or more of the Company’s total revenue for each respective period presented. Four related parties individually represented greater than 10% of total revenue and collectively totaled approximately 57% for three months ended March 31, 2024. Three related parties individually represented greater than 10% of total revenue and collectively totaled approximately 50% for the three months ended March 31, 2023. </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NOTE 4 - BORROWINGS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As of March 31, 2024 and December 31, 2023, the Company had secured borrowings with an outstanding balance of $331.2 million and $271.7 million, respectively, a long-term debt with an outstanding balance of $235.0 million and $0.0 million, respectively, and a revolving credit facility with an outstanding balance of $0.0 million and $90.0 million, respectively. The Company was in compliance with all covenants as of March 31,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5"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1ae226876884df5aa3fa0a01a318c55_7">
        <w:r>
          <w:rPr>
            <w:rStyle w:val="InternetLink"/>
            <w:rFonts w:ascii="Times New Roman;sans-serif" w:hAnsi="Times New Roman;sans-serif"/>
            <w:b w:val="false"/>
            <w:color w:val="0000FF"/>
            <w:sz w:val="18"/>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 xml:space="preserve">Risk Retention Master Repurchase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 normal course of business, the Company, through consolidated VIEs, enters into repurchase agreements to finance the Company’s risk retention balance in notes and certificates retained from securitization transactions. Under these agreements, the Company pledges financial instruments as collateral. Our agreements with counterparties generally contain contractual provisions allowing the counterparty the right to sell or repledge the collateral. Pledged securities owned that can be sold or repledge by the counterparty are included in Investments in loans and securities in our balance sheet. As of March 31, 2024 and December 31, 2023, the outstanding principal balance under the repurchase agreements was $310.1 million and $251.4 million, respectively, which is recorded within secured borrowing on the consolidated balance sheet, with a weighted average interest rate of approximately fourteen percent and thirteen percent, respectively. The average remaining contractual maturities of the repurchase agreements were greater than 90 days as of both March 31, 2024 and December 31,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Receivables Facility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 October 2022, Pagaya Receivables LLC, a wholly-owned subsidiary, entered into a Loan and Security Agreement (the “LSA Agreement”) with certain lenders, which provides for a 3-year loan facility (the “Receivables Facility”) in a maximum principal amount of $22 million to finance certain eligible receivables purchased from sponsored securitization transactions. In June 2023, the Company amended the agreement and increased the maximum principal amount by $10 million to $32 million. Borrowings under the Receivables Facility bear interest at a rate per annum equal to the adjusted term Secured Overnight Financing Rate (subject to a 0.00% floor) plus a margin of 2.20%, and the balance is repaid using cash proceeds received from the receivables. As of March 31, 2024 and December 31, 2023, the outstanding principal balance under the Receivables Facility was $21.0 million and $20.3 million, respectively, which is recorded within secured borrowing on the consolidated balance sheet.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Credit Agreement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On February 2, 2024, the Company entered into a certain Credit Agreement (the “Credit Agreement”) which provides for a 5-year senior secured revolving credit facility (the “Revolving Credit Facility”) in an initial principal amount of $25 million, which subsequently increased to $35 million, and a 5 year senior secured term loan facility (the “Term Loan Facility,” and together with the Revolving Credit Facility, the “Facilities”) in an initial principal amount of $255 million.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Facilities replace the SVB Revolving Credit Facility. In addition to replacing the SVB Revolving Credit Facility, proceeds of borrowings under the Facilities may be used for general corporate purposes of the Company and its subsidiaries. As of the date of this filing, no borrowings have been made under the Revolving Credit Facility.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No amortization payments are required to be made in respect of borrowings under the Revolving Credit Facility. Amortization payments are required to be made in respect of the term loans under the Term Loan Facility in amount of 1.25% per quarter of the original principal amount of the term loans under the Term Loan Facility.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Borrowings under the Facilities bear interest at a rate per annum equal to, at the Company’s option, (i) a base rate (determined based on the prime rate and subject to a 2.00% floor) plus a margin of 6.50% or (ii) an adjusted term Secured Overnight Financing Rate (subject to a 1.00% floor) plus a margin of 7.50%. A commitment fee accrues on any unused portion of the commitments under the Revolving Credit Facility at a rate per annum of 0.25% and is payable quarterly in arrears. Accrued interest of $2.3 million was recorded within accrued expenses and other liabilities on the consolidated balance sheet as of March 31, 2024.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As of March 31, 2024, the Company had an outstanding balance of $235.0 million, which is recorded within long-term debt on the consolidated balance sheet, and its aggregate future maturities consists of the following (in thousands):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6"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1ae226876884df5aa3fa0a01a318c55_7">
        <w:r>
          <w:rPr>
            <w:rStyle w:val="InternetLink"/>
            <w:rFonts w:ascii="Times New Roman;sans-serif" w:hAnsi="Times New Roman;sans-serif"/>
            <w:b w:val="false"/>
            <w:color w:val="0000FF"/>
            <w:sz w:val="18"/>
            <w:u w:val="single"/>
          </w:rPr>
          <w:t>Table of Contents</w:t>
        </w:r>
      </w:hyperlink>
    </w:p>
    <w:tbl>
      <w:tblPr>
        <w:tblW w:w="4784" w:type="dxa"/>
        <w:jc w:val="left"/>
        <w:tblInd w:w="0" w:type="dxa"/>
        <w:tblLayout w:type="fixed"/>
        <w:tblCellMar>
          <w:top w:w="28" w:type="dxa"/>
          <w:left w:w="28" w:type="dxa"/>
          <w:bottom w:w="28" w:type="dxa"/>
          <w:right w:w="28" w:type="dxa"/>
        </w:tblCellMar>
      </w:tblPr>
      <w:tblGrid>
        <w:gridCol w:w="1246"/>
        <w:gridCol w:w="1096"/>
        <w:gridCol w:w="1107"/>
        <w:gridCol w:w="241"/>
        <w:gridCol w:w="905"/>
        <w:gridCol w:w="189"/>
      </w:tblGrid>
      <w:tr>
        <w:trPr/>
        <w:tc>
          <w:tcPr>
            <w:tcW w:w="12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9,563 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12,750 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12,750 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12,750 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12,750 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191,250 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251,813 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Debt issuance costs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(16,765)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debt, net of debt issuance costs</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235,048 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As of March 31, 2024, the Company had letters of credit issued in the amount of $10.0 million, and $25.0 million of remaining capacity available under the Revolving Credit Facility.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As of December 31, 2023, the Company had an outstanding balance of $90.0 million under the SVB Revolving Credit Facility.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18"/>
        </w:rPr>
      </w:pPr>
      <w:r>
        <w:rPr>
          <w:rFonts w:ascii="Times New Roman;sans-serif" w:hAnsi="Times New Roman;sans-serif"/>
          <w:b/>
          <w:color w:val="000000"/>
          <w:sz w:val="18"/>
        </w:rPr>
        <w:t>NOTE 5 - INVESTMENTS IN LOANS AND SECURITIES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amortized cost, gross unrealized gains and losses and fair value of investments in loans and securities as of March 31, 2024 and December 31, 2023 were as follows (in thousands). As provided in Note 6, a portion of these investments in loans and securities are consolidated as a result of the Company’s determination that it is the primary beneficiary of certain VIEs.</w:t>
      </w:r>
    </w:p>
    <w:tbl>
      <w:tblPr>
        <w:tblW w:w="10205" w:type="dxa"/>
        <w:jc w:val="left"/>
        <w:tblInd w:w="0" w:type="dxa"/>
        <w:tblLayout w:type="fixed"/>
        <w:tblCellMar>
          <w:top w:w="28" w:type="dxa"/>
          <w:left w:w="28" w:type="dxa"/>
          <w:bottom w:w="28" w:type="dxa"/>
          <w:right w:w="28" w:type="dxa"/>
        </w:tblCellMar>
      </w:tblPr>
      <w:tblGrid>
        <w:gridCol w:w="1070"/>
        <w:gridCol w:w="934"/>
        <w:gridCol w:w="939"/>
        <w:gridCol w:w="196"/>
        <w:gridCol w:w="871"/>
        <w:gridCol w:w="109"/>
        <w:gridCol w:w="109"/>
        <w:gridCol w:w="109"/>
        <w:gridCol w:w="109"/>
        <w:gridCol w:w="198"/>
        <w:gridCol w:w="654"/>
        <w:gridCol w:w="110"/>
        <w:gridCol w:w="109"/>
        <w:gridCol w:w="109"/>
        <w:gridCol w:w="109"/>
        <w:gridCol w:w="196"/>
        <w:gridCol w:w="694"/>
        <w:gridCol w:w="109"/>
        <w:gridCol w:w="109"/>
        <w:gridCol w:w="109"/>
        <w:gridCol w:w="109"/>
        <w:gridCol w:w="307"/>
        <w:gridCol w:w="1247"/>
        <w:gridCol w:w="171"/>
        <w:gridCol w:w="109"/>
        <w:gridCol w:w="109"/>
        <w:gridCol w:w="109"/>
        <w:gridCol w:w="196"/>
        <w:gridCol w:w="736"/>
        <w:gridCol w:w="160"/>
      </w:tblGrid>
      <w:tr>
        <w:trPr/>
        <w:tc>
          <w:tcPr>
            <w:tcW w:w="107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2"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As of March 31, 2024</w:t>
            </w:r>
          </w:p>
        </w:tc>
      </w:tr>
      <w:tr>
        <w:trPr/>
        <w:tc>
          <w:tcPr>
            <w:tcW w:w="294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Investments in loans and securities, available for sale(1):</w:t>
            </w:r>
          </w:p>
        </w:tc>
        <w:tc>
          <w:tcPr>
            <w:tcW w:w="11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Amortized </w:t>
              <w:br/>
              <w:t>Cost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Gross </w:t>
              <w:br/>
              <w:t xml:space="preserve">Unrealized </w:t>
              <w:br/>
              <w:t>Gains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Gross </w:t>
              <w:br/>
              <w:t xml:space="preserve">Unrealized </w:t>
              <w:br/>
              <w:t>Losses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Allowance for Credit Losses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Fair </w:t>
              <w:br/>
              <w:t>Value</w:t>
            </w:r>
          </w:p>
        </w:tc>
      </w:tr>
      <w:tr>
        <w:trPr/>
        <w:tc>
          <w:tcPr>
            <w:tcW w:w="294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Securitization notes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173,812 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Securitization certificates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15,018 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(121,349)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716,210 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loans and receivables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1,036,164 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15,669 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(31,322)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(126,360)</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894,151 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18"/>
        </w:rPr>
      </w:pPr>
      <w:r>
        <w:rPr>
          <w:rFonts w:ascii="Times New Roman;sans-serif" w:hAnsi="Times New Roman;sans-serif"/>
          <w:b w:val="false"/>
          <w:color w:val="000000"/>
          <w:sz w:val="18"/>
        </w:rPr>
        <w:t>(1) Excludes accrued interest receivable of $14.5 million included in Fees and other receivables.</w:t>
      </w:r>
    </w:p>
    <w:p>
      <w:pPr>
        <w:pStyle w:val="TextBody"/>
        <w:bidi w:val="0"/>
        <w:spacing w:before="160" w:after="283"/>
        <w:jc w:val="both"/>
        <w:rPr/>
      </w:pPr>
      <w:r>
        <w:rPr/>
      </w:r>
    </w:p>
    <w:tbl>
      <w:tblPr>
        <w:tblW w:w="10205" w:type="dxa"/>
        <w:jc w:val="left"/>
        <w:tblInd w:w="0" w:type="dxa"/>
        <w:tblLayout w:type="fixed"/>
        <w:tblCellMar>
          <w:top w:w="28" w:type="dxa"/>
          <w:left w:w="28" w:type="dxa"/>
          <w:bottom w:w="28" w:type="dxa"/>
          <w:right w:w="28" w:type="dxa"/>
        </w:tblCellMar>
      </w:tblPr>
      <w:tblGrid>
        <w:gridCol w:w="1105"/>
        <w:gridCol w:w="965"/>
        <w:gridCol w:w="971"/>
        <w:gridCol w:w="196"/>
        <w:gridCol w:w="736"/>
        <w:gridCol w:w="109"/>
        <w:gridCol w:w="109"/>
        <w:gridCol w:w="109"/>
        <w:gridCol w:w="109"/>
        <w:gridCol w:w="198"/>
        <w:gridCol w:w="655"/>
        <w:gridCol w:w="110"/>
        <w:gridCol w:w="109"/>
        <w:gridCol w:w="109"/>
        <w:gridCol w:w="109"/>
        <w:gridCol w:w="196"/>
        <w:gridCol w:w="696"/>
        <w:gridCol w:w="109"/>
        <w:gridCol w:w="109"/>
        <w:gridCol w:w="109"/>
        <w:gridCol w:w="109"/>
        <w:gridCol w:w="313"/>
        <w:gridCol w:w="1273"/>
        <w:gridCol w:w="174"/>
        <w:gridCol w:w="109"/>
        <w:gridCol w:w="109"/>
        <w:gridCol w:w="109"/>
        <w:gridCol w:w="196"/>
        <w:gridCol w:w="736"/>
        <w:gridCol w:w="159"/>
      </w:tblGrid>
      <w:tr>
        <w:trPr/>
        <w:tc>
          <w:tcPr>
            <w:tcW w:w="110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4"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As of December 31, 2023</w:t>
            </w:r>
          </w:p>
        </w:tc>
      </w:tr>
      <w:tr>
        <w:trPr/>
        <w:tc>
          <w:tcPr>
            <w:tcW w:w="30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Investments in loans and securities, available for sale(1):</w:t>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Amortized </w:t>
              <w:br/>
              <w:t>Cost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Gross </w:t>
              <w:br/>
              <w:t xml:space="preserve">Unrealized </w:t>
              <w:br/>
              <w:t>Gains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Gross </w:t>
              <w:br/>
              <w:t xml:space="preserve">Unrealized </w:t>
              <w:br/>
              <w:t>Losses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Allowance for Credit Losses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Fair </w:t>
              <w:br/>
              <w:t>Value</w:t>
            </w:r>
          </w:p>
        </w:tc>
      </w:tr>
      <w:tr>
        <w:trPr/>
        <w:tc>
          <w:tcPr>
            <w:tcW w:w="3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30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Securitization notes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90,425 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Securitization certificates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18,684 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(98,679)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624,073 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loans and receivables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(2,279)</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811,874 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19,313 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(13,436)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(100,958)</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716,793 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(1) Excludes accrued interest receivable of $12.5 million included in Fees and other receivables. </w:t>
      </w:r>
    </w:p>
    <w:p>
      <w:pPr>
        <w:pStyle w:val="TextBody"/>
        <w:bidi w:val="0"/>
        <w:spacing w:before="160" w:after="283"/>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tables set forth the fair value and gross unrealized losses on investments in loans and securities without an allowance for credit losses aggregated by investment category and length of time that individual securities had been in a continuous unrealized loss position, as of the dates indicated (in thousands):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7"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1ae226876884df5aa3fa0a01a318c55_7">
        <w:r>
          <w:rPr>
            <w:rStyle w:val="InternetLink"/>
            <w:rFonts w:ascii="Times New Roman;sans-serif" w:hAnsi="Times New Roman;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59"/>
        <w:gridCol w:w="747"/>
        <w:gridCol w:w="751"/>
        <w:gridCol w:w="196"/>
        <w:gridCol w:w="648"/>
        <w:gridCol w:w="109"/>
        <w:gridCol w:w="109"/>
        <w:gridCol w:w="109"/>
        <w:gridCol w:w="109"/>
        <w:gridCol w:w="242"/>
        <w:gridCol w:w="777"/>
        <w:gridCol w:w="134"/>
        <w:gridCol w:w="109"/>
        <w:gridCol w:w="109"/>
        <w:gridCol w:w="109"/>
        <w:gridCol w:w="218"/>
        <w:gridCol w:w="453"/>
        <w:gridCol w:w="121"/>
        <w:gridCol w:w="109"/>
        <w:gridCol w:w="109"/>
        <w:gridCol w:w="109"/>
        <w:gridCol w:w="317"/>
        <w:gridCol w:w="659"/>
        <w:gridCol w:w="178"/>
        <w:gridCol w:w="109"/>
        <w:gridCol w:w="109"/>
        <w:gridCol w:w="109"/>
        <w:gridCol w:w="196"/>
        <w:gridCol w:w="646"/>
        <w:gridCol w:w="109"/>
        <w:gridCol w:w="109"/>
        <w:gridCol w:w="109"/>
        <w:gridCol w:w="109"/>
        <w:gridCol w:w="240"/>
        <w:gridCol w:w="771"/>
        <w:gridCol w:w="199"/>
      </w:tblGrid>
      <w:tr>
        <w:trPr/>
        <w:tc>
          <w:tcPr>
            <w:tcW w:w="85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As of March 31, 2024</w:t>
            </w:r>
          </w:p>
        </w:tc>
      </w:tr>
      <w:tr>
        <w:trPr/>
        <w:tc>
          <w:tcPr>
            <w:tcW w:w="2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Less than or equal to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Greater than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Investments in loans and securities, available for sale:</w:t>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w:t>
            </w:r>
          </w:p>
        </w:tc>
      </w:tr>
      <w:tr>
        <w:trPr/>
        <w:tc>
          <w:tcPr>
            <w:tcW w:w="235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23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Securitization notes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(1,684)</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(1,684)</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Securitization certificates</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loans and receivables</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(3,166)</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(3,166)</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59"/>
        <w:gridCol w:w="747"/>
        <w:gridCol w:w="751"/>
        <w:gridCol w:w="196"/>
        <w:gridCol w:w="648"/>
        <w:gridCol w:w="109"/>
        <w:gridCol w:w="109"/>
        <w:gridCol w:w="109"/>
        <w:gridCol w:w="109"/>
        <w:gridCol w:w="242"/>
        <w:gridCol w:w="777"/>
        <w:gridCol w:w="134"/>
        <w:gridCol w:w="109"/>
        <w:gridCol w:w="109"/>
        <w:gridCol w:w="109"/>
        <w:gridCol w:w="218"/>
        <w:gridCol w:w="453"/>
        <w:gridCol w:w="121"/>
        <w:gridCol w:w="109"/>
        <w:gridCol w:w="109"/>
        <w:gridCol w:w="109"/>
        <w:gridCol w:w="317"/>
        <w:gridCol w:w="659"/>
        <w:gridCol w:w="178"/>
        <w:gridCol w:w="109"/>
        <w:gridCol w:w="109"/>
        <w:gridCol w:w="109"/>
        <w:gridCol w:w="196"/>
        <w:gridCol w:w="646"/>
        <w:gridCol w:w="109"/>
        <w:gridCol w:w="109"/>
        <w:gridCol w:w="109"/>
        <w:gridCol w:w="109"/>
        <w:gridCol w:w="240"/>
        <w:gridCol w:w="771"/>
        <w:gridCol w:w="199"/>
      </w:tblGrid>
      <w:tr>
        <w:trPr/>
        <w:tc>
          <w:tcPr>
            <w:tcW w:w="85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As of December 31, 2023</w:t>
            </w:r>
          </w:p>
        </w:tc>
      </w:tr>
      <w:tr>
        <w:trPr/>
        <w:tc>
          <w:tcPr>
            <w:tcW w:w="2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Less than or equal to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Greater than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Investments in loans and securities, available for sale:</w:t>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w:t>
            </w:r>
          </w:p>
        </w:tc>
      </w:tr>
      <w:tr>
        <w:trPr/>
        <w:tc>
          <w:tcPr>
            <w:tcW w:w="235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23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Securitization notes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(1,858)</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(1,858)</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Securitization certificates</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loans and receivables</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(3,846)</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(3,846)</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following table sets forth the amortized cost and fair value of investments in loans and securities by contractual maturities, as of the date indicated (in thousands):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78"/>
        <w:gridCol w:w="585"/>
        <w:gridCol w:w="589"/>
        <w:gridCol w:w="230"/>
        <w:gridCol w:w="655"/>
        <w:gridCol w:w="129"/>
        <w:gridCol w:w="109"/>
        <w:gridCol w:w="109"/>
        <w:gridCol w:w="109"/>
        <w:gridCol w:w="198"/>
        <w:gridCol w:w="564"/>
        <w:gridCol w:w="110"/>
        <w:gridCol w:w="109"/>
        <w:gridCol w:w="109"/>
        <w:gridCol w:w="109"/>
        <w:gridCol w:w="220"/>
        <w:gridCol w:w="978"/>
        <w:gridCol w:w="122"/>
        <w:gridCol w:w="122"/>
        <w:gridCol w:w="122"/>
        <w:gridCol w:w="122"/>
        <w:gridCol w:w="220"/>
        <w:gridCol w:w="826"/>
        <w:gridCol w:w="122"/>
        <w:gridCol w:w="109"/>
        <w:gridCol w:w="109"/>
        <w:gridCol w:w="109"/>
        <w:gridCol w:w="201"/>
        <w:gridCol w:w="897"/>
        <w:gridCol w:w="112"/>
        <w:gridCol w:w="109"/>
        <w:gridCol w:w="109"/>
        <w:gridCol w:w="109"/>
        <w:gridCol w:w="196"/>
        <w:gridCol w:w="736"/>
        <w:gridCol w:w="163"/>
      </w:tblGrid>
      <w:tr>
        <w:trPr/>
        <w:tc>
          <w:tcPr>
            <w:tcW w:w="678"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As of March 31, 2024</w:t>
            </w:r>
          </w:p>
        </w:tc>
      </w:tr>
      <w:tr>
        <w:trPr/>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Within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Greater than 1 year, less than or equal to 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8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Investments in loans and securities, available for sale:</w:t>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1852"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Securitization notes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173,589 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172,567 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174,845 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173,812 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Securitization certificates</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852,126 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716,157 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852,179 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716,210 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loans and receivables</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9,140 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9,140 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(1)</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1,309 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1,298 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1,034,855 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892,853 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1,036,164 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894,151 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21"/>
        <w:gridCol w:w="624"/>
        <w:gridCol w:w="628"/>
        <w:gridCol w:w="233"/>
        <w:gridCol w:w="665"/>
        <w:gridCol w:w="131"/>
        <w:gridCol w:w="109"/>
        <w:gridCol w:w="109"/>
        <w:gridCol w:w="109"/>
        <w:gridCol w:w="199"/>
        <w:gridCol w:w="565"/>
        <w:gridCol w:w="110"/>
        <w:gridCol w:w="109"/>
        <w:gridCol w:w="109"/>
        <w:gridCol w:w="109"/>
        <w:gridCol w:w="228"/>
        <w:gridCol w:w="858"/>
        <w:gridCol w:w="127"/>
        <w:gridCol w:w="127"/>
        <w:gridCol w:w="127"/>
        <w:gridCol w:w="127"/>
        <w:gridCol w:w="228"/>
        <w:gridCol w:w="858"/>
        <w:gridCol w:w="127"/>
        <w:gridCol w:w="109"/>
        <w:gridCol w:w="109"/>
        <w:gridCol w:w="109"/>
        <w:gridCol w:w="210"/>
        <w:gridCol w:w="791"/>
        <w:gridCol w:w="117"/>
        <w:gridCol w:w="109"/>
        <w:gridCol w:w="109"/>
        <w:gridCol w:w="109"/>
        <w:gridCol w:w="196"/>
        <w:gridCol w:w="736"/>
        <w:gridCol w:w="164"/>
      </w:tblGrid>
      <w:tr>
        <w:trPr/>
        <w:tc>
          <w:tcPr>
            <w:tcW w:w="7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As of December 31, 2023</w:t>
            </w:r>
          </w:p>
        </w:tc>
      </w:tr>
      <w:tr>
        <w:trPr/>
        <w:tc>
          <w:tcPr>
            <w:tcW w:w="1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Within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Greater than 1 year, less than or equal to 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9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Investments in loans and securities, available for sale:</w:t>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1973"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Securitization notes</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89,249 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88,038 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91,654 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90,425 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Securitization certificates</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715,543</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623,970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715,646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624,073</w:t>
            </w:r>
          </w:p>
        </w:tc>
      </w:tr>
      <w:tr>
        <w:trPr/>
        <w:tc>
          <w:tcPr>
            <w:tcW w:w="1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loans and receivables</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4,574</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2,295</w:t>
            </w:r>
          </w:p>
        </w:tc>
      </w:tr>
      <w:tr>
        <w:trPr/>
        <w:tc>
          <w:tcPr>
            <w:tcW w:w="1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(1)</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2,508 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2,490 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809,366 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714,303 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811,874 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716,793 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(1) Based on contractual maturities of corresponding repurchase agreements. See Note 6 for additional information.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 sets forth gross proceeds and related investment gains (losses), as well as losses on write-downs and the allowance for credit losses of securities, for the periods indicated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8"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1ae226876884df5aa3fa0a01a318c55_7">
        <w:r>
          <w:rPr>
            <w:rStyle w:val="InternetLink"/>
            <w:rFonts w:ascii="Times New Roman;sans-serif" w:hAnsi="Times New Roman;sans-serif"/>
            <w:b w:val="false"/>
            <w:color w:val="0000FF"/>
            <w:sz w:val="18"/>
            <w:u w:val="single"/>
          </w:rPr>
          <w:t>Table of Contents</w:t>
        </w:r>
      </w:hyperlink>
    </w:p>
    <w:tbl>
      <w:tblPr>
        <w:tblW w:w="10089" w:type="dxa"/>
        <w:jc w:val="left"/>
        <w:tblInd w:w="0" w:type="dxa"/>
        <w:tblLayout w:type="fixed"/>
        <w:tblCellMar>
          <w:top w:w="28" w:type="dxa"/>
          <w:left w:w="28" w:type="dxa"/>
          <w:bottom w:w="28" w:type="dxa"/>
          <w:right w:w="28" w:type="dxa"/>
        </w:tblCellMar>
      </w:tblPr>
      <w:tblGrid>
        <w:gridCol w:w="1684"/>
        <w:gridCol w:w="1478"/>
        <w:gridCol w:w="1487"/>
        <w:gridCol w:w="109"/>
        <w:gridCol w:w="859"/>
        <w:gridCol w:w="859"/>
        <w:gridCol w:w="862"/>
        <w:gridCol w:w="109"/>
        <w:gridCol w:w="196"/>
        <w:gridCol w:w="721"/>
        <w:gridCol w:w="109"/>
        <w:gridCol w:w="109"/>
        <w:gridCol w:w="109"/>
        <w:gridCol w:w="109"/>
        <w:gridCol w:w="196"/>
        <w:gridCol w:w="721"/>
        <w:gridCol w:w="109"/>
        <w:gridCol w:w="109"/>
        <w:gridCol w:w="154"/>
      </w:tblGrid>
      <w:tr>
        <w:trPr/>
        <w:tc>
          <w:tcPr>
            <w:tcW w:w="1684"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2751" w:type="dxa"/>
            <w:gridSpan w:val="12"/>
            <w:tcBorders/>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Investments in loans and securities, available for sale:</w:t>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sales/maturities/prepayments</w:t>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Write-offs charged against the allowance</w:t>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to allowance for credit losses not previously recorded</w:t>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tables set forth the activity in the allowance for credit losses for investments in loans and securities, as of the dates indicated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17"/>
        <w:gridCol w:w="978"/>
        <w:gridCol w:w="987"/>
        <w:gridCol w:w="391"/>
        <w:gridCol w:w="813"/>
        <w:gridCol w:w="219"/>
        <w:gridCol w:w="109"/>
        <w:gridCol w:w="109"/>
        <w:gridCol w:w="109"/>
        <w:gridCol w:w="308"/>
        <w:gridCol w:w="1186"/>
        <w:gridCol w:w="172"/>
        <w:gridCol w:w="109"/>
        <w:gridCol w:w="109"/>
        <w:gridCol w:w="109"/>
        <w:gridCol w:w="403"/>
        <w:gridCol w:w="1178"/>
        <w:gridCol w:w="228"/>
        <w:gridCol w:w="109"/>
        <w:gridCol w:w="109"/>
        <w:gridCol w:w="109"/>
        <w:gridCol w:w="196"/>
        <w:gridCol w:w="787"/>
        <w:gridCol w:w="161"/>
      </w:tblGrid>
      <w:tr>
        <w:trPr/>
        <w:tc>
          <w:tcPr>
            <w:tcW w:w="1217"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3"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2024</w:t>
            </w:r>
          </w:p>
        </w:tc>
      </w:tr>
      <w:tr>
        <w:trPr/>
        <w:tc>
          <w:tcPr>
            <w:tcW w:w="3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Securitization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Securitization certificates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 Loans and Receivables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(98,679)</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(2,279)</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(100,958)</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to allowance for credit losses not previously recorded</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Additions to allowance for credit losses arising from purchases</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(3,246)</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3182"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3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(reductions) on securities with previous allowance</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(19,705)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(935)</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(20,640)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Write-offs charged against the allowance</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3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(121,349)</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(5,011)</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(126,360)</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00"/>
        <w:gridCol w:w="1003"/>
        <w:gridCol w:w="1012"/>
        <w:gridCol w:w="394"/>
        <w:gridCol w:w="818"/>
        <w:gridCol w:w="220"/>
        <w:gridCol w:w="109"/>
        <w:gridCol w:w="109"/>
        <w:gridCol w:w="109"/>
        <w:gridCol w:w="341"/>
        <w:gridCol w:w="1154"/>
        <w:gridCol w:w="190"/>
        <w:gridCol w:w="109"/>
        <w:gridCol w:w="109"/>
        <w:gridCol w:w="109"/>
        <w:gridCol w:w="409"/>
        <w:gridCol w:w="1196"/>
        <w:gridCol w:w="231"/>
        <w:gridCol w:w="109"/>
        <w:gridCol w:w="109"/>
        <w:gridCol w:w="109"/>
        <w:gridCol w:w="196"/>
        <w:gridCol w:w="698"/>
        <w:gridCol w:w="162"/>
      </w:tblGrid>
      <w:tr>
        <w:trPr/>
        <w:tc>
          <w:tcPr>
            <w:tcW w:w="120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2023</w:t>
            </w:r>
          </w:p>
        </w:tc>
      </w:tr>
      <w:tr>
        <w:trPr/>
        <w:tc>
          <w:tcPr>
            <w:tcW w:w="3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Securitization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Securitization certificates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 Loans and Receivables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to allowance for credit losses not previously recorded</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(65,572)</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(2,775)</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(68,347)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5"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215"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215"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215"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215"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(65,572)</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(2,775)</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(68,347)</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 xml:space="preserve">Equity Method and Other Investments </w:t>
      </w:r>
    </w:p>
    <w:p>
      <w:pPr>
        <w:pStyle w:val="TextBody"/>
        <w:bidi w:val="0"/>
        <w:spacing w:lineRule="auto" w:line="288" w:before="16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following investments, including those accounted for under the equity method, are included within Equity method and other investments in the consolidated balance sheets as of March 31, 2024 and December 31, 2023 (in thousands): </w:t>
      </w:r>
    </w:p>
    <w:p>
      <w:pPr>
        <w:pStyle w:val="TextBody"/>
        <w:bidi w:val="0"/>
        <w:spacing w:before="0" w:after="0"/>
        <w:jc w:val="both"/>
        <w:rPr/>
      </w:pPr>
      <w:r>
        <w:rPr/>
      </w:r>
    </w:p>
    <w:tbl>
      <w:tblPr>
        <w:tblW w:w="6909" w:type="dxa"/>
        <w:jc w:val="left"/>
        <w:tblInd w:w="0" w:type="dxa"/>
        <w:tblLayout w:type="fixed"/>
        <w:tblCellMar>
          <w:top w:w="28" w:type="dxa"/>
          <w:left w:w="28" w:type="dxa"/>
          <w:bottom w:w="28" w:type="dxa"/>
          <w:right w:w="28" w:type="dxa"/>
        </w:tblCellMar>
      </w:tblPr>
      <w:tblGrid>
        <w:gridCol w:w="1340"/>
        <w:gridCol w:w="1180"/>
        <w:gridCol w:w="1184"/>
        <w:gridCol w:w="266"/>
        <w:gridCol w:w="876"/>
        <w:gridCol w:w="147"/>
        <w:gridCol w:w="109"/>
        <w:gridCol w:w="109"/>
        <w:gridCol w:w="109"/>
        <w:gridCol w:w="313"/>
        <w:gridCol w:w="1031"/>
        <w:gridCol w:w="245"/>
      </w:tblGrid>
      <w:tr>
        <w:trPr/>
        <w:tc>
          <w:tcPr>
            <w:tcW w:w="134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Value</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333333"/>
                <w:sz w:val="18"/>
              </w:rPr>
            </w:pPr>
            <w:r>
              <w:rPr>
                <w:rFonts w:ascii="Times New Roman;sans-serif" w:hAnsi="Times New Roman;sans-serif"/>
                <w:b/>
                <w:color w:val="333333"/>
                <w:sz w:val="18"/>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in Pagaya SmartResi F1 Fund, LP (1)</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17,884 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17,357 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(2)</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26,911 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26,383 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(1) The Company owns approximately 5.4% and is the general partner of Pagaya Smartresi F1 Fund LP.</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(2) Represents the Company’s proprietary investments. Income from these investments is included in Investment income in the consolidated statements of operations.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NOTE 6 - CONSOLIDATION AND VARIABLE INTEREST ENTITIES</w:t>
      </w:r>
    </w:p>
    <w:p>
      <w:pPr>
        <w:pStyle w:val="TextBody"/>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 has variable interests in securitization vehicles that it sponsors. The Company consolidates VIEs when it is deemed to be the primary beneficiary. In order to be primary beneficiary, the Company must have a controlling financial interest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19"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1ae226876884df5aa3fa0a01a318c5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VIE. This is determined by evaluating if the Company has both (1) the power to direct the activities of the VIE that most significantly impact the VIE’s economic performance, and (2) the obligation to absorb losses of the VIE that could potentially be significant to the VIE or the right to receive benefits from the VIE that could potentially be significant. </w:t>
      </w:r>
    </w:p>
    <w:p>
      <w:pPr>
        <w:pStyle w:val="TextBody"/>
        <w:bidi w:val="0"/>
        <w:spacing w:lineRule="auto" w:line="288" w:before="220" w:after="283"/>
        <w:jc w:val="both"/>
        <w:rPr>
          <w:rFonts w:ascii="Times New Roman;sans-serif" w:hAnsi="Times New Roman;sans-serif"/>
          <w:b/>
          <w:color w:val="000000"/>
          <w:sz w:val="18"/>
        </w:rPr>
      </w:pPr>
      <w:r>
        <w:rPr>
          <w:rFonts w:ascii="Times New Roman;sans-serif" w:hAnsi="Times New Roman;sans-serif"/>
          <w:b/>
          <w:color w:val="000000"/>
          <w:sz w:val="18"/>
        </w:rPr>
        <w:t>Consolidated VIEs</w:t>
      </w:r>
    </w:p>
    <w:p>
      <w:pPr>
        <w:pStyle w:val="TextBody"/>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As of March 31, 2024 and December 31, 2023, the Company has determined that it is the primary beneficiary of Pagaya Structured Holdings LLC, Pagaya Structured Holdings II LLC, and Pagaya Structured Holding III LLC (“Risk Retention Entities”). As sponsor of securitization transactions, the Company is subject to risk retention requirements and established the Risk Retention Entities to meet these requirements.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Below is a summary of assets and liabilities from the Company’s involvement with consolidated VIEs (i.e., Risk Retention Entities) (in thousands): </w:t>
      </w:r>
    </w:p>
    <w:p>
      <w:pPr>
        <w:pStyle w:val="TextBody"/>
        <w:bidi w:val="0"/>
        <w:spacing w:lineRule="auto" w:line="288" w:before="160" w:after="283"/>
        <w:jc w:val="both"/>
        <w:rPr>
          <w:color w:val="000000"/>
        </w:rPr>
      </w:pPr>
      <w:r>
        <w:rPr>
          <w:color w:val="000000"/>
        </w:rPr>
        <w:t> </w:t>
      </w:r>
    </w:p>
    <w:tbl>
      <w:tblPr>
        <w:tblW w:w="5602" w:type="dxa"/>
        <w:jc w:val="left"/>
        <w:tblInd w:w="0" w:type="dxa"/>
        <w:tblLayout w:type="fixed"/>
        <w:tblCellMar>
          <w:top w:w="28" w:type="dxa"/>
          <w:left w:w="28" w:type="dxa"/>
          <w:bottom w:w="28" w:type="dxa"/>
          <w:right w:w="28" w:type="dxa"/>
        </w:tblCellMar>
      </w:tblPr>
      <w:tblGrid>
        <w:gridCol w:w="712"/>
        <w:gridCol w:w="624"/>
        <w:gridCol w:w="629"/>
        <w:gridCol w:w="196"/>
        <w:gridCol w:w="736"/>
        <w:gridCol w:w="109"/>
        <w:gridCol w:w="109"/>
        <w:gridCol w:w="109"/>
        <w:gridCol w:w="109"/>
        <w:gridCol w:w="235"/>
        <w:gridCol w:w="488"/>
        <w:gridCol w:w="133"/>
        <w:gridCol w:w="109"/>
        <w:gridCol w:w="109"/>
        <w:gridCol w:w="109"/>
        <w:gridCol w:w="196"/>
        <w:gridCol w:w="736"/>
        <w:gridCol w:w="154"/>
      </w:tblGrid>
      <w:tr>
        <w:trPr/>
        <w:tc>
          <w:tcPr>
            <w:tcW w:w="71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Assets</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As of March 31, 2024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122,929 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As of December 31, 2023</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132,660 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both"/>
        <w:rPr/>
      </w:pPr>
      <w:r>
        <w:rPr>
          <w:rFonts w:ascii="Times New Roman;sans-serif" w:hAnsi="Times New Roman;sans-serif"/>
          <w:b/>
          <w:color w:val="000000"/>
          <w:sz w:val="18"/>
        </w:rPr>
        <w:t>Unconsolidated VIEs</w:t>
      </w:r>
      <w:r>
        <w:rPr>
          <w:color w:val="000000"/>
        </w:rPr>
        <w:t xml:space="preserve"> </w:t>
      </w:r>
    </w:p>
    <w:p>
      <w:pPr>
        <w:pStyle w:val="TextBody"/>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 determined that it is not the primary beneficiary of the trusts which hold the loans and issue securities associated with the securitization transactions the Company sponsors. The Company does not have the power to direct or control the activities which most significantly affect the performance of the trusts, which was determined to be servicing loans. </w:t>
      </w:r>
    </w:p>
    <w:p>
      <w:pPr>
        <w:pStyle w:val="TextBody"/>
        <w:bidi w:val="0"/>
        <w:spacing w:lineRule="auto" w:line="288" w:before="16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Company’s maximum exposure to loss from its involvement with unconsolidated VIEs represents the estimated loss that would be incurred under severe, hypothetical circumstances, for which the Company believes the possibility is remote, such as where the value of securitization notes and senior and residual certificates the Company holds as part of the risk retention requirement declines to zero. </w:t>
      </w:r>
    </w:p>
    <w:p>
      <w:pPr>
        <w:pStyle w:val="TextBody"/>
        <w:bidi w:val="0"/>
        <w:spacing w:lineRule="auto" w:line="288" w:before="160" w:after="283"/>
        <w:jc w:val="both"/>
        <w:rPr>
          <w:rFonts w:ascii="Times New Roman;sans-serif" w:hAnsi="Times New Roman;sans-serif"/>
          <w:b w:val="false"/>
          <w:color w:val="000000"/>
          <w:sz w:val="18"/>
        </w:rPr>
      </w:pPr>
      <w:r>
        <w:rPr>
          <w:rFonts w:ascii="Times New Roman;sans-serif" w:hAnsi="Times New Roman;sans-serif"/>
          <w:b w:val="false"/>
          <w:color w:val="000000"/>
          <w:sz w:val="18"/>
        </w:rPr>
        <w:t>Below is a summary of the Company’s direct interest in (i.e., not held through Risk Retention Entities) variable interests in nonconsolidated VIEs (in thousands):</w:t>
      </w:r>
    </w:p>
    <w:tbl>
      <w:tblPr>
        <w:tblW w:w="7619" w:type="dxa"/>
        <w:jc w:val="left"/>
        <w:tblInd w:w="0" w:type="dxa"/>
        <w:tblLayout w:type="fixed"/>
        <w:tblCellMar>
          <w:top w:w="28" w:type="dxa"/>
          <w:left w:w="28" w:type="dxa"/>
          <w:bottom w:w="28" w:type="dxa"/>
          <w:right w:w="28" w:type="dxa"/>
        </w:tblCellMar>
      </w:tblPr>
      <w:tblGrid>
        <w:gridCol w:w="712"/>
        <w:gridCol w:w="624"/>
        <w:gridCol w:w="629"/>
        <w:gridCol w:w="282"/>
        <w:gridCol w:w="1061"/>
        <w:gridCol w:w="157"/>
        <w:gridCol w:w="109"/>
        <w:gridCol w:w="109"/>
        <w:gridCol w:w="109"/>
        <w:gridCol w:w="429"/>
        <w:gridCol w:w="1612"/>
        <w:gridCol w:w="238"/>
        <w:gridCol w:w="109"/>
        <w:gridCol w:w="109"/>
        <w:gridCol w:w="109"/>
        <w:gridCol w:w="196"/>
        <w:gridCol w:w="871"/>
        <w:gridCol w:w="154"/>
      </w:tblGrid>
      <w:tr>
        <w:trPr/>
        <w:tc>
          <w:tcPr>
            <w:tcW w:w="71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Maximum Exposure to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VIE Assets</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As of March 31, 2024</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777,480 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777,480 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9,463,355 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As of December 31, 2023</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591,030 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591,030 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8,363,402 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From time to time, the Company may, but is not obligated to, purchase assets from the Financing Vehicles. Such repurchases can occur at the Company’s discretion. During the three months ended March 31, 2024, the Company purchased approximately $5.0 million of loan principal from the Financing Vehicles and included a loss of approximately $5.0 million in general and administrative expenses with respect to these loans. During the three months ended March 31, 2023, the Company did not purchase any loans from the Financing Vehicles.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 xml:space="preserve">NOTE 7 - LEASES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 leases facilities under operating leases with various expiration dates through 2032. The Company leases office space in New York, Israel and several other locations. </w:t>
      </w:r>
    </w:p>
    <w:p>
      <w:pPr>
        <w:pStyle w:val="TextBody"/>
        <w:bidi w:val="0"/>
        <w:spacing w:lineRule="auto" w:line="288" w:before="16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security deposits for the leases are $4.6 million and $4.8 million as of March 31, 2024 and December 31, 2023, respectively, which have been recognized as restricted cash, non-current in the consolidated balance sheets. </w:t>
      </w:r>
    </w:p>
    <w:p>
      <w:pPr>
        <w:pStyle w:val="TextBody"/>
        <w:bidi w:val="0"/>
        <w:spacing w:lineRule="auto" w:line="288" w:before="16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Company’s operating lease expense consists of rent and variable lease payments. Variable lease payments such as common area maintenance were included in operating expenses. Rent expense for the Company’s short-term leases was immaterial for the periods presented. Operating lease expense was as follows (in thousands):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0"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1ae226876884df5aa3fa0a01a318c55_7">
        <w:r>
          <w:rPr>
            <w:rStyle w:val="InternetLink"/>
            <w:rFonts w:ascii="Times New Roman;sans-serif" w:hAnsi="Times New Roman;sans-serif"/>
            <w:b w:val="false"/>
            <w:color w:val="0000FF"/>
            <w:sz w:val="18"/>
            <w:u w:val="single"/>
          </w:rPr>
          <w:t>Table of Contents</w:t>
        </w:r>
      </w:hyperlink>
    </w:p>
    <w:tbl>
      <w:tblPr>
        <w:tblW w:w="5154" w:type="dxa"/>
        <w:jc w:val="left"/>
        <w:tblInd w:w="0" w:type="dxa"/>
        <w:tblLayout w:type="fixed"/>
        <w:tblCellMar>
          <w:top w:w="28" w:type="dxa"/>
          <w:left w:w="28" w:type="dxa"/>
          <w:bottom w:w="28" w:type="dxa"/>
          <w:right w:w="28" w:type="dxa"/>
        </w:tblCellMar>
      </w:tblPr>
      <w:tblGrid>
        <w:gridCol w:w="662"/>
        <w:gridCol w:w="583"/>
        <w:gridCol w:w="585"/>
        <w:gridCol w:w="437"/>
        <w:gridCol w:w="255"/>
        <w:gridCol w:w="256"/>
        <w:gridCol w:w="243"/>
        <w:gridCol w:w="243"/>
        <w:gridCol w:w="243"/>
        <w:gridCol w:w="437"/>
        <w:gridCol w:w="255"/>
        <w:gridCol w:w="256"/>
        <w:gridCol w:w="109"/>
        <w:gridCol w:w="109"/>
        <w:gridCol w:w="109"/>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7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Rent expense</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2,909</w:t>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Variable lease payments</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w:t>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Sublease income</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w:t>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Maturities of the Company’s operating lease liabilities as of March 31, 2024 were as follows (in thousands): </w:t>
      </w:r>
    </w:p>
    <w:p>
      <w:pPr>
        <w:pStyle w:val="TextBody"/>
        <w:bidi w:val="0"/>
        <w:spacing w:before="120" w:after="283"/>
        <w:jc w:val="both"/>
        <w:rPr/>
      </w:pPr>
      <w:r>
        <w:rPr/>
      </w:r>
    </w:p>
    <w:tbl>
      <w:tblPr>
        <w:tblW w:w="3313" w:type="dxa"/>
        <w:jc w:val="left"/>
        <w:tblInd w:w="0" w:type="dxa"/>
        <w:tblLayout w:type="fixed"/>
        <w:tblCellMar>
          <w:top w:w="28" w:type="dxa"/>
          <w:left w:w="28" w:type="dxa"/>
          <w:bottom w:w="28" w:type="dxa"/>
          <w:right w:w="28" w:type="dxa"/>
        </w:tblCellMar>
      </w:tblPr>
      <w:tblGrid>
        <w:gridCol w:w="814"/>
        <w:gridCol w:w="714"/>
        <w:gridCol w:w="722"/>
        <w:gridCol w:w="196"/>
        <w:gridCol w:w="646"/>
        <w:gridCol w:w="221"/>
      </w:tblGrid>
      <w:tr>
        <w:trPr/>
        <w:tc>
          <w:tcPr>
            <w:tcW w:w="8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21,167 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59,704 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imputed interest</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(11,203)</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lease liabilities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48,501 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 xml:space="preserve">NOTE 8 - COMMITMENTS AND CONTINGENCIES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18"/>
        </w:rPr>
        <w:t xml:space="preserve">Legal Proceedings </w:t>
      </w:r>
      <w:r>
        <w:rPr>
          <w:color w:val="000000"/>
        </w:rPr>
        <w:t xml:space="preserve">— </w:t>
      </w:r>
      <w:r>
        <w:rPr>
          <w:rFonts w:ascii="Times New Roman;sans-serif" w:hAnsi="Times New Roman;sans-serif"/>
          <w:b w:val="false"/>
          <w:color w:val="000000"/>
          <w:sz w:val="18"/>
        </w:rPr>
        <w:t xml:space="preserve">From time to time the Company is subject to legal proceedings and claims in the ordinary course of business. The results of such matters often cannot be predicted with certainty. In accordance with applicable accounting guidance, the Company establishes an accrued liability for legal proceeding and claims when those matters present loss contingencies which are both probable and reasonably estimable. All such liabilities arising from current legal and regulatory matters, to the extent such matters existed, have been recorded in accrued expenses and other liabilities on the consolidated statements of financial position and these matters are immaterial.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18"/>
        </w:rPr>
        <w:t xml:space="preserve">Contractual Obligations and Commitments </w:t>
      </w:r>
      <w:r>
        <w:rPr>
          <w:color w:val="000000"/>
        </w:rPr>
        <w:t xml:space="preserve">— </w:t>
      </w:r>
      <w:r>
        <w:rPr>
          <w:rFonts w:ascii="Times New Roman;sans-serif" w:hAnsi="Times New Roman;sans-serif"/>
          <w:b w:val="false"/>
          <w:color w:val="000000"/>
          <w:sz w:val="18"/>
        </w:rPr>
        <w:t xml:space="preserve">During 2023, the Company entered into a purchase commitment with our third-party cloud computing web services provider, which included an annual purchase commitment of $4.6 million for the period from October 2023 through September 2025. As of March 31, 2024, the total remaining contractual obligations are approximately $7.3 million, of which $4.9 million is for the next 12 months. We may pay more than the minimum purchase commitment based on usage.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18"/>
        </w:rPr>
        <w:t xml:space="preserve">Guarantees and Indemnifications </w:t>
      </w:r>
      <w:r>
        <w:rPr>
          <w:color w:val="000000"/>
        </w:rPr>
        <w:t xml:space="preserve">— </w:t>
      </w:r>
      <w:r>
        <w:rPr>
          <w:rFonts w:ascii="Times New Roman;sans-serif" w:hAnsi="Times New Roman;sans-serif"/>
          <w:b w:val="false"/>
          <w:color w:val="000000"/>
          <w:sz w:val="18"/>
        </w:rPr>
        <w:t xml:space="preserve">In the ordinary course of business, the Company may provide indemnifications or loss guarantees of varying scope and terms to customers and other third parties with respect to certain matters, including, but not limited to, losses arising out of breach of such agreements, services to be provided by the Company or from intellectual property infringement claims made by third parties. These indemnifications may survive termination of the underlying agreement and the maximum potential amount of future indemnification payments may not be subject to a cap. As of March 31, 2024, there have been no known events or circumstances that have resulted in a material indemnification liability and the Company did not incur material costs to defend lawsuits or settle claims related to these indemnifications. For certain contracts meeting the definition of a guarantee or a derivative, the guarantor must recognize, at inception, a liability for the fair value of the obligation undertaken in issuing the guarantee. In addition, the guarantor must disclose the maximum potential amount of future payments that the guarantor could be required to make under the guarantee, if there were a default by the guaranteed parties. The determination of the maximum potential future payments is based on the notional amount of the guarantees without consideration of possible recoveries under recourse provisions or from collateral held or pledged. As of March 31, 2024, the maximum potential amount of undiscounted future payments the Company could be required to make under these guarantees totaled $29.0 million. In accordance with the guarantee contracts, the maximum potential payment amount has been segregated and recognized within restricted cash in the consolidated balance sheet.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NOTE 9 - TRANSACTIONS WITH RELATED PARTIES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1"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1ae226876884df5aa3fa0a01a318c5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 the ordinary course of business, the Company may enter into transactions with directors, principal officers, their immediate families, and affiliated companies in which they are principal shareholders (commonly referred to as related parties). In addition, the Company has transactions with the securitization vehicles and other Financing Vehicles, which are also related parties.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As of March 31, 2024, the total fee receivables from related parties are $88.7 million, which consist of $81.9 million from securitization vehicles and $6.8 million from other Financing Vehicles. As of December 31, 2023, the total fee receivables from related parties are $84.8 million, which consists of $78.4 million from securitization vehicles and $6.3 million from other Financing Vehicles.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As of March 31, 2024 and December 31, 2023, prepaid expenses and other assets include amounts due from related parties of $7.1 million and $7.9 million, respectively, all of which were attributable to Financing Vehicles.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For the three months ended March 31, 2024, the total revenue from related parties is $178.5 million, which consists of $162.6 million from securitization vehicles and $15.9 million from other Financing Vehicles. For the three months ended March 31, 2023, the total revenue from related parties is $153.8 million, which consists of $131.6 million from securitization vehicles and $22.2 million from other Financing Vehicles.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NOTE 10 - FAIR VALUE MEASUREMENT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FASB ASC 820, “Fair Value Measurements and Disclosures” (“ASC 820”), defines fair value, establishes a framework for measuring fair value under generally accepted accounting principles, and requires certain disclosures about fair value measurements. In general, fair values of financial instruments are based upon quoted market prices, when available. If such quoted market prices are not available, fair value is based upon models that use, as inputs, observable market-based parameters to the greatest extent possible.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Financial Assets and Liabilities Recorded at Fair Value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information about the Company’s assets and liabilities that are measured at fair value on a recurring basis as of March 31, 2024 and December 31, 2023, and indicates the fair value hierarchy of the valuation inputs the Company utilized to determine such fair value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960"/>
        <w:gridCol w:w="1726"/>
        <w:gridCol w:w="1748"/>
        <w:gridCol w:w="196"/>
        <w:gridCol w:w="40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55"/>
      </w:tblGrid>
      <w:tr>
        <w:trPr/>
        <w:tc>
          <w:tcPr>
            <w:tcW w:w="1960"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1"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4060" w:type="dxa"/>
            <w:gridSpan w:val="18"/>
            <w:tcBorders/>
          </w:tcPr>
          <w:p>
            <w:pPr>
              <w:pStyle w:val="TableContents"/>
              <w:bidi w:val="0"/>
              <w:spacing w:before="0" w:after="283"/>
              <w:jc w:val="left"/>
              <w:rPr>
                <w:sz w:val="4"/>
                <w:szCs w:val="4"/>
              </w:rPr>
            </w:pPr>
            <w:r>
              <w:rPr>
                <w:sz w:val="4"/>
                <w:szCs w:val="4"/>
              </w:rPr>
            </w:r>
          </w:p>
        </w:tc>
      </w:tr>
      <w:tr>
        <w:trPr/>
        <w:tc>
          <w:tcPr>
            <w:tcW w:w="5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in loans and securities (Notes)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173,812 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in loans and securities (Certificates and Other loans and receivables)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720,339 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Warrant liability</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1,342</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063"/>
        <w:gridCol w:w="1817"/>
        <w:gridCol w:w="1840"/>
        <w:gridCol w:w="196"/>
        <w:gridCol w:w="406"/>
        <w:gridCol w:w="109"/>
        <w:gridCol w:w="109"/>
        <w:gridCol w:w="109"/>
        <w:gridCol w:w="109"/>
        <w:gridCol w:w="196"/>
        <w:gridCol w:w="646"/>
        <w:gridCol w:w="109"/>
        <w:gridCol w:w="109"/>
        <w:gridCol w:w="109"/>
        <w:gridCol w:w="109"/>
        <w:gridCol w:w="239"/>
        <w:gridCol w:w="497"/>
        <w:gridCol w:w="109"/>
        <w:gridCol w:w="109"/>
        <w:gridCol w:w="109"/>
        <w:gridCol w:w="109"/>
        <w:gridCol w:w="196"/>
        <w:gridCol w:w="646"/>
        <w:gridCol w:w="155"/>
      </w:tblGrid>
      <w:tr>
        <w:trPr/>
        <w:tc>
          <w:tcPr>
            <w:tcW w:w="2063"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5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5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in loans and securities (Notes)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in loans and securities (Certificates and Other loans and receivables)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626,368 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Warrant liability</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3,242</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There were no transfers between levels during the periods ended March 31, 2024 and December 31,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Assets and Liabilities Measured at Fair Value on a Recurring Basis (Level 1 and 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18"/>
          <w:u w:val="single"/>
        </w:rPr>
      </w:pPr>
      <w:r>
        <w:rPr>
          <w:rFonts w:ascii="Times New Roman;sans-serif" w:hAnsi="Times New Roman;sans-serif"/>
          <w:b w:val="false"/>
          <w:i/>
          <w:color w:val="000000"/>
          <w:sz w:val="18"/>
          <w:u w:val="single"/>
        </w:rPr>
        <w:t>Warrant liability (Level 1 and 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2"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1ae226876884df5aa3fa0a01a318c55_7">
        <w:r>
          <w:rPr>
            <w:rStyle w:val="InternetLink"/>
            <w:rFonts w:ascii="Times New Roman;sans-serif" w:hAnsi="Times New Roman;sans-serif"/>
            <w:b w:val="false"/>
            <w:color w:val="0000FF"/>
            <w:sz w:val="18"/>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 used the value of the Public Warrants (Level 1) as an approximation of the value of the Private Warrants as they are substantially similar to the Public Warrants, but not directly traded or quoted on an active market.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tables summarize the Warrant liability activity for the three months ended March 31, 2024 and 2023 (in thousands):</w:t>
      </w:r>
    </w:p>
    <w:p>
      <w:pPr>
        <w:pStyle w:val="TextBody"/>
        <w:bidi w:val="0"/>
        <w:spacing w:before="0" w:after="0"/>
        <w:jc w:val="both"/>
        <w:rPr/>
      </w:pPr>
      <w:r>
        <w:rPr/>
      </w:r>
    </w:p>
    <w:tbl>
      <w:tblPr>
        <w:tblW w:w="3430" w:type="dxa"/>
        <w:jc w:val="left"/>
        <w:tblInd w:w="0" w:type="dxa"/>
        <w:tblLayout w:type="fixed"/>
        <w:tblCellMar>
          <w:top w:w="28" w:type="dxa"/>
          <w:left w:w="28" w:type="dxa"/>
          <w:bottom w:w="28" w:type="dxa"/>
          <w:right w:w="28" w:type="dxa"/>
        </w:tblCellMar>
      </w:tblPr>
      <w:tblGrid>
        <w:gridCol w:w="945"/>
        <w:gridCol w:w="831"/>
        <w:gridCol w:w="833"/>
        <w:gridCol w:w="227"/>
        <w:gridCol w:w="268"/>
        <w:gridCol w:w="326"/>
      </w:tblGrid>
      <w:tr>
        <w:trPr/>
        <w:tc>
          <w:tcPr>
            <w:tcW w:w="94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2022</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w:t>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w:t>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2023</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1,210</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2023</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3,242</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w:t>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(1,900)</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2024</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1,342</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Assets and Liabilities Measured at Fair Value on a Recurring Basis (Level 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18"/>
          <w:u w:val="single"/>
        </w:rPr>
      </w:pPr>
      <w:r>
        <w:rPr>
          <w:rFonts w:ascii="Times New Roman;sans-serif" w:hAnsi="Times New Roman;sans-serif"/>
          <w:b w:val="false"/>
          <w:i/>
          <w:color w:val="000000"/>
          <w:sz w:val="18"/>
          <w:u w:val="single"/>
        </w:rPr>
        <w:t>Investments in Loans and Securities Available for Sale (Level 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As of March 31, 2024, the Company held investments in loans and securities classified as available for sale. These assets are measured at fair value using a discounted cash flow model, and presented within investments in loans and securities on the consolidated balance sheets. Changes in the fair value, other than declines in fair value due to credit, are reflected in other comprehensive income (loss) on the consolidated statements of comprehensive income (loss). Declines in fair value due to credit are reflected in other income (expenses), net on the consolidated statements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tables summarize the activity related to the fair value of the investments in loans and securities available for sale for the three months ended March 31, 2024 and 2023 (in thousands):</w:t>
      </w:r>
    </w:p>
    <w:p>
      <w:pPr>
        <w:pStyle w:val="TextBody"/>
        <w:bidi w:val="0"/>
        <w:spacing w:before="0" w:after="0"/>
        <w:jc w:val="both"/>
        <w:rPr/>
      </w:pPr>
      <w:r>
        <w:rPr/>
      </w:r>
    </w:p>
    <w:tbl>
      <w:tblPr>
        <w:tblW w:w="7653" w:type="dxa"/>
        <w:jc w:val="left"/>
        <w:tblInd w:w="0" w:type="dxa"/>
        <w:tblLayout w:type="fixed"/>
        <w:tblCellMar>
          <w:top w:w="28" w:type="dxa"/>
          <w:left w:w="28" w:type="dxa"/>
          <w:bottom w:w="28" w:type="dxa"/>
          <w:right w:w="28" w:type="dxa"/>
        </w:tblCellMar>
      </w:tblPr>
      <w:tblGrid>
        <w:gridCol w:w="1654"/>
        <w:gridCol w:w="1457"/>
        <w:gridCol w:w="1463"/>
        <w:gridCol w:w="428"/>
        <w:gridCol w:w="345"/>
        <w:gridCol w:w="346"/>
        <w:gridCol w:w="238"/>
        <w:gridCol w:w="238"/>
        <w:gridCol w:w="238"/>
        <w:gridCol w:w="463"/>
        <w:gridCol w:w="446"/>
        <w:gridCol w:w="337"/>
      </w:tblGrid>
      <w:tr>
        <w:trPr/>
        <w:tc>
          <w:tcPr>
            <w:tcW w:w="1654"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beginning of period</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716,793</w:t>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Transfer from held-to-maturity to available for sale at fair value</w:t>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480,437</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w:t>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261,638</w:t>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121,731</w:t>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received</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(35,897)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(25,985)</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(21,531)</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Credit-related impairment loss</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(26,851)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(68,347)</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end of period</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894,151</w:t>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507,166</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Significant unobservable inputs used for our Level 3 fair value measurement of the loans and securities are the discount rate, loss rate, and prepayment rate. Significant increases or decreases in any of the inputs in isolation could result in a significantly lower or higher fair value measurement.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following tables present quantitative information about the significant unobservable inputs used for our Level 3 fair value measurement of the loans and securities as of March 31, 2024 and December 31, 2023: </w:t>
      </w:r>
    </w:p>
    <w:p>
      <w:pPr>
        <w:pStyle w:val="TextBody"/>
        <w:bidi w:val="0"/>
        <w:spacing w:before="0" w:after="0"/>
        <w:jc w:val="both"/>
        <w:rPr/>
      </w:pPr>
      <w:r>
        <w:rPr/>
      </w:r>
    </w:p>
    <w:tbl>
      <w:tblPr>
        <w:tblW w:w="5993" w:type="dxa"/>
        <w:jc w:val="left"/>
        <w:tblInd w:w="0" w:type="dxa"/>
        <w:tblLayout w:type="fixed"/>
        <w:tblCellMar>
          <w:top w:w="28" w:type="dxa"/>
          <w:left w:w="28" w:type="dxa"/>
          <w:bottom w:w="28" w:type="dxa"/>
          <w:right w:w="28" w:type="dxa"/>
        </w:tblCellMar>
      </w:tblPr>
      <w:tblGrid>
        <w:gridCol w:w="609"/>
        <w:gridCol w:w="534"/>
        <w:gridCol w:w="537"/>
        <w:gridCol w:w="109"/>
        <w:gridCol w:w="109"/>
        <w:gridCol w:w="109"/>
        <w:gridCol w:w="200"/>
        <w:gridCol w:w="200"/>
        <w:gridCol w:w="471"/>
        <w:gridCol w:w="109"/>
        <w:gridCol w:w="109"/>
        <w:gridCol w:w="109"/>
        <w:gridCol w:w="300"/>
        <w:gridCol w:w="300"/>
        <w:gridCol w:w="301"/>
        <w:gridCol w:w="109"/>
        <w:gridCol w:w="109"/>
        <w:gridCol w:w="109"/>
        <w:gridCol w:w="456"/>
        <w:gridCol w:w="456"/>
        <w:gridCol w:w="648"/>
      </w:tblGrid>
      <w:tr>
        <w:trPr/>
        <w:tc>
          <w:tcPr>
            <w:tcW w:w="6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6"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Prepayment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w:t>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3"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1ae226876884df5aa3fa0a01a318c55_7">
        <w:r>
          <w:rPr>
            <w:rStyle w:val="InternetLink"/>
            <w:rFonts w:ascii="Times New Roman;sans-serif" w:hAnsi="Times New Roman;sans-serif"/>
            <w:b w:val="false"/>
            <w:color w:val="0000FF"/>
            <w:sz w:val="18"/>
            <w:u w:val="single"/>
          </w:rPr>
          <w:t>Table of Contents</w:t>
        </w:r>
      </w:hyperlink>
    </w:p>
    <w:tbl>
      <w:tblPr>
        <w:tblW w:w="5993" w:type="dxa"/>
        <w:jc w:val="left"/>
        <w:tblInd w:w="0" w:type="dxa"/>
        <w:tblLayout w:type="fixed"/>
        <w:tblCellMar>
          <w:top w:w="28" w:type="dxa"/>
          <w:left w:w="28" w:type="dxa"/>
          <w:bottom w:w="28" w:type="dxa"/>
          <w:right w:w="28" w:type="dxa"/>
        </w:tblCellMar>
      </w:tblPr>
      <w:tblGrid>
        <w:gridCol w:w="609"/>
        <w:gridCol w:w="534"/>
        <w:gridCol w:w="537"/>
        <w:gridCol w:w="109"/>
        <w:gridCol w:w="109"/>
        <w:gridCol w:w="109"/>
        <w:gridCol w:w="200"/>
        <w:gridCol w:w="200"/>
        <w:gridCol w:w="471"/>
        <w:gridCol w:w="109"/>
        <w:gridCol w:w="109"/>
        <w:gridCol w:w="109"/>
        <w:gridCol w:w="300"/>
        <w:gridCol w:w="300"/>
        <w:gridCol w:w="301"/>
        <w:gridCol w:w="109"/>
        <w:gridCol w:w="109"/>
        <w:gridCol w:w="109"/>
        <w:gridCol w:w="456"/>
        <w:gridCol w:w="456"/>
        <w:gridCol w:w="648"/>
      </w:tblGrid>
      <w:tr>
        <w:trPr/>
        <w:tc>
          <w:tcPr>
            <w:tcW w:w="6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6"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Prepayment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w:t>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Financial Assets and Liabilities Not Recorded at Fair Value</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 believes that the carrying amount of cash, cash equivalents and restricted cash, fees and other receivables, accounts payables and other current liabilities approximate their fair value due to the short-term maturities of these instruments.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below tables contain information about assets that are not measured at fair value on a recurring basis as of March 31, 2024 and December 31, 2023 (in thousands): </w:t>
      </w:r>
    </w:p>
    <w:p>
      <w:pPr>
        <w:pStyle w:val="TextBody"/>
        <w:bidi w:val="0"/>
        <w:spacing w:before="0" w:after="0"/>
        <w:jc w:val="both"/>
        <w:rPr/>
      </w:pPr>
      <w:r>
        <w:rPr/>
      </w:r>
    </w:p>
    <w:tbl>
      <w:tblPr>
        <w:tblW w:w="9303" w:type="dxa"/>
        <w:jc w:val="left"/>
        <w:tblInd w:w="0" w:type="dxa"/>
        <w:tblLayout w:type="fixed"/>
        <w:tblCellMar>
          <w:top w:w="28" w:type="dxa"/>
          <w:left w:w="28" w:type="dxa"/>
          <w:bottom w:w="28" w:type="dxa"/>
          <w:right w:w="28" w:type="dxa"/>
        </w:tblCellMar>
      </w:tblPr>
      <w:tblGrid>
        <w:gridCol w:w="1111"/>
        <w:gridCol w:w="977"/>
        <w:gridCol w:w="987"/>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406"/>
        <w:gridCol w:w="109"/>
        <w:gridCol w:w="109"/>
        <w:gridCol w:w="109"/>
        <w:gridCol w:w="109"/>
        <w:gridCol w:w="196"/>
        <w:gridCol w:w="736"/>
        <w:gridCol w:w="154"/>
      </w:tblGrid>
      <w:tr>
        <w:trPr/>
        <w:tc>
          <w:tcPr>
            <w:tcW w:w="1111"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8"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310,049 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Fees and other receivables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432,649 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310,049 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122,600 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432,649 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tbl>
      <w:tblPr>
        <w:tblW w:w="9303" w:type="dxa"/>
        <w:jc w:val="left"/>
        <w:tblInd w:w="0" w:type="dxa"/>
        <w:tblLayout w:type="fixed"/>
        <w:tblCellMar>
          <w:top w:w="28" w:type="dxa"/>
          <w:left w:w="28" w:type="dxa"/>
          <w:bottom w:w="28" w:type="dxa"/>
          <w:right w:w="28" w:type="dxa"/>
        </w:tblCellMar>
      </w:tblPr>
      <w:tblGrid>
        <w:gridCol w:w="1111"/>
        <w:gridCol w:w="977"/>
        <w:gridCol w:w="987"/>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406"/>
        <w:gridCol w:w="109"/>
        <w:gridCol w:w="109"/>
        <w:gridCol w:w="109"/>
        <w:gridCol w:w="109"/>
        <w:gridCol w:w="196"/>
        <w:gridCol w:w="736"/>
        <w:gridCol w:w="154"/>
      </w:tblGrid>
      <w:tr>
        <w:trPr/>
        <w:tc>
          <w:tcPr>
            <w:tcW w:w="1111"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8"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222,541 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Fees and other receivables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113,707 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336,248 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222,541 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113,707 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336,248 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NOTE 11 - ORDINARY SHARES AND ORDINARY SHARE WARRANTS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As of March 31, 2024, 839,999,998 shares with no par value are authorized, of which, 6,666,666 shares are designated as Preferred Shares, 666,666,666 shares are designated as Class A Ordinary Shares, and 166,666,666 shares are designated as Class B Ordinary Shares. As of March 31, 2024, the Company had 5,000,000 Preferred Shares outstanding, 57,950,053 Class A Ordinary Shares outstanding and 12,652,310 Class B Ordinary Shares outstanding.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rights of the holders of each class of Ordinary Shares are identical, except with respect to voting. Each Class A Ordinary Share is entitled to one vote per share. Each Class B Ordinary Share is entitled to 10 votes per share. Class B Ordinary Shares may be converted at any time at the option of the stockholder and automatically convert upon sale or transfer to a Class A Ordinary Share.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 xml:space="preserve">Reverse Share Split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Upon the approvals granted at the special general meeting of shareholders held on February 15, 2024, the Board has determined to implement a reverse share split of all of the Company’s ordinary and preferred shares, without par value, at a ratio of 1-for-12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4"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1ae226876884df5aa3fa0a01a318c5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with effective date of March 8, 2024. All references made to share or per share amounts in the accompanying consolidated financial statements and applicable disclosures have been retroactively adjusted to reflect the effects of the reverse share split.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As of March 31, 2024 and December 31, 2023, the Company had reserved ordinary shares for future issuance as follows: </w:t>
      </w:r>
    </w:p>
    <w:p>
      <w:pPr>
        <w:pStyle w:val="TextBody"/>
        <w:bidi w:val="0"/>
        <w:spacing w:before="0" w:after="0"/>
        <w:jc w:val="both"/>
        <w:rPr/>
      </w:pPr>
      <w:r>
        <w:rPr/>
      </w:r>
    </w:p>
    <w:tbl>
      <w:tblPr>
        <w:tblW w:w="7282" w:type="dxa"/>
        <w:jc w:val="left"/>
        <w:tblInd w:w="0" w:type="dxa"/>
        <w:tblLayout w:type="fixed"/>
        <w:tblCellMar>
          <w:top w:w="28" w:type="dxa"/>
          <w:left w:w="28" w:type="dxa"/>
          <w:bottom w:w="28" w:type="dxa"/>
          <w:right w:w="28" w:type="dxa"/>
        </w:tblCellMar>
      </w:tblPr>
      <w:tblGrid>
        <w:gridCol w:w="1311"/>
        <w:gridCol w:w="1145"/>
        <w:gridCol w:w="1159"/>
        <w:gridCol w:w="109"/>
        <w:gridCol w:w="109"/>
        <w:gridCol w:w="109"/>
        <w:gridCol w:w="503"/>
        <w:gridCol w:w="458"/>
        <w:gridCol w:w="431"/>
        <w:gridCol w:w="109"/>
        <w:gridCol w:w="109"/>
        <w:gridCol w:w="109"/>
        <w:gridCol w:w="480"/>
        <w:gridCol w:w="481"/>
        <w:gridCol w:w="660"/>
      </w:tblGrid>
      <w:tr>
        <w:trPr/>
        <w:tc>
          <w:tcPr>
            <w:tcW w:w="1311"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948" w:type="dxa"/>
            <w:gridSpan w:val="6"/>
            <w:tcBorders/>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4,110,374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4,250,988</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Options to restricted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20,034,514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20,046,080</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2,353,589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3,034,203</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Ordinary share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2,076,014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2,076,014</w:t>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Redeemable convertible preferred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5,000,000</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available for future grant of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5,251,353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5,231,186</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Shares reserved for issuance under the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891,858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shares of ordinary share reserved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39,717,702 </w:t>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39,638,471 </w:t>
            </w:r>
          </w:p>
        </w:tc>
        <w:tc>
          <w:tcPr>
            <w:tcW w:w="6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Ordinary Share Warrants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 has accounted for the ordinary share warrants as equity-classified warrants as they met the requirements for equity classification under ASC 815, including whether the ordinary share warrants are indexed to the Company’s own ordinary shares.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As of March 31, 2024, there were 433,946 warrants expiring in March 2031 with an exercise price of $0.00006 per share, 192,901 warrants expiring in June 2030 with an exercise price of $0.0006 per share, 220,000 warrants expiring in March 2032 with an exercise price of $0.12 per share, and 1,229,166 warrants expiring in June 2027 (consisting of the Public Warrants and Private Placement Warrants) with an exercise price of $138 per share.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Ordinary Shares Purchase Agreement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During three months ended March 31, 2024, 298,057 shares were issued under the Equity Financing Purchase Agreement for net proceeds of $5.2 million, and related fee of $0.2 million was expensed.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18"/>
        </w:rPr>
      </w:pPr>
      <w:r>
        <w:rPr>
          <w:rFonts w:ascii="Times New Roman;sans-serif" w:hAnsi="Times New Roman;sans-serif"/>
          <w:b/>
          <w:color w:val="000000"/>
          <w:sz w:val="18"/>
        </w:rPr>
        <w:t>Ordinary Share Offering</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On March 13, 2024, the Company priced an offering of 7,500,000 of its Class A Ordinary Shares, no par value, pursuant to an underwriting agreement (the “Underwriting Agreement”) with Citigroup Global Markets Inc. and Jefferies LLC as representatives of the several underwriters. The proceeds from the offer and sale of the securities are approximately $90.0 million, after deducting the underwriting discount and fees and offering expenses payable by the Company.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NOTE 12 - SHARE BASED COMPENSATION</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18"/>
        </w:rPr>
        <w:t>Share Options</w:t>
      </w:r>
      <w:r>
        <w:rPr>
          <w:color w:val="000000"/>
        </w:rPr>
        <w:t>—</w:t>
      </w:r>
      <w:r>
        <w:rPr>
          <w:rFonts w:ascii="Times New Roman;sans-serif" w:hAnsi="Times New Roman;sans-serif"/>
          <w:b w:val="false"/>
          <w:color w:val="000000"/>
          <w:sz w:val="18"/>
        </w:rPr>
        <w:t>Granted share options expire at the earlier of termination of employment or ten years from the date of grant. Share options generally vest over four years of the employment commencement date or with 25% vesting on the twelve-month anniversary of the employment commencement date, and the remaining on a pro-rata basis each quarter over the next three years. Any options, which are forfeited or not exercised before expiration, become available for future grants.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5"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1ae226876884df5aa3fa0a01a318c5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following table summarized the Company’s share option activity during the three months ended March 31, 2024: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03"/>
        <w:gridCol w:w="735"/>
        <w:gridCol w:w="741"/>
        <w:gridCol w:w="534"/>
        <w:gridCol w:w="476"/>
        <w:gridCol w:w="453"/>
        <w:gridCol w:w="109"/>
        <w:gridCol w:w="109"/>
        <w:gridCol w:w="109"/>
        <w:gridCol w:w="603"/>
        <w:gridCol w:w="1156"/>
        <w:gridCol w:w="336"/>
        <w:gridCol w:w="109"/>
        <w:gridCol w:w="109"/>
        <w:gridCol w:w="109"/>
        <w:gridCol w:w="553"/>
        <w:gridCol w:w="553"/>
        <w:gridCol w:w="555"/>
        <w:gridCol w:w="109"/>
        <w:gridCol w:w="109"/>
        <w:gridCol w:w="109"/>
        <w:gridCol w:w="318"/>
        <w:gridCol w:w="1050"/>
        <w:gridCol w:w="258"/>
      </w:tblGrid>
      <w:tr>
        <w:trPr/>
        <w:tc>
          <w:tcPr>
            <w:tcW w:w="90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w:t>
              <w:br/>
              <w:t>Remaining Contractual</w:t>
              <w:br/>
              <w:t>Term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w:t>
              <w:br/>
              <w:t>Intrinsic Value (000’s)</w:t>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December 31, 2023</w:t>
            </w:r>
          </w:p>
        </w:tc>
        <w:tc>
          <w:tcPr>
            <w:tcW w:w="146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4,250,988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43,940 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(97,339)</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(43,275)</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March 31, 2024</w:t>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4,110,374 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5,992 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 and exercisable, March 31, 2024</w:t>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3,162,852 </w:t>
            </w:r>
          </w:p>
        </w:tc>
        <w:tc>
          <w:tcPr>
            <w:tcW w:w="4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9,549 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There was no grant of share options during the three months ended March 31, 2024. The aggregate intrinsic value of options exercised was approximately $0.7 million and $1.6 million for the three months ended March 31, 2024 and 2023, respectively. The total fair value of share options vested for the three months ended March 31, 2024 and 2023, was $62.8 million and $41.6 million,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As of March 31, 2024, unrecognized compensation expense related to unvested share options was approximately $46.7 million, which is expected to be recognized over a remaining weighted-average period of 1.0 years.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18"/>
        </w:rPr>
        <w:t>Restricted Stock Units (RSUs)</w:t>
      </w:r>
      <w:r>
        <w:rPr>
          <w:color w:val="000000"/>
        </w:rPr>
        <w:t>—</w:t>
      </w:r>
      <w:r>
        <w:rPr>
          <w:rFonts w:ascii="Times New Roman;sans-serif" w:hAnsi="Times New Roman;sans-serif"/>
          <w:b w:val="false"/>
          <w:color w:val="000000"/>
          <w:sz w:val="18"/>
        </w:rPr>
        <w:t>RSUs generally vest over two years of the employment commencement date with 50% vesting on the twelve-month anniversary of the employment commencement date, and the remaining on a pro-rata basis each quarter over the remaining twelve months. RSUs granted are forfeited at termination of employment. Any RSUs, which are forfeited or not exercised before expiration, become available for future grants.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following table summarized the Company’s RSU activity during the three months ended March 31, 2024: </w:t>
      </w:r>
    </w:p>
    <w:p>
      <w:pPr>
        <w:pStyle w:val="TextBody"/>
        <w:bidi w:val="0"/>
        <w:spacing w:before="0" w:after="0"/>
        <w:jc w:val="left"/>
        <w:rPr/>
      </w:pPr>
      <w:r>
        <w:rPr/>
      </w:r>
    </w:p>
    <w:tbl>
      <w:tblPr>
        <w:tblW w:w="8245" w:type="dxa"/>
        <w:jc w:val="left"/>
        <w:tblInd w:w="0" w:type="dxa"/>
        <w:tblLayout w:type="fixed"/>
        <w:tblCellMar>
          <w:top w:w="28" w:type="dxa"/>
          <w:left w:w="28" w:type="dxa"/>
          <w:bottom w:w="28" w:type="dxa"/>
          <w:right w:w="28" w:type="dxa"/>
        </w:tblCellMar>
      </w:tblPr>
      <w:tblGrid>
        <w:gridCol w:w="851"/>
        <w:gridCol w:w="750"/>
        <w:gridCol w:w="753"/>
        <w:gridCol w:w="479"/>
        <w:gridCol w:w="479"/>
        <w:gridCol w:w="481"/>
        <w:gridCol w:w="109"/>
        <w:gridCol w:w="109"/>
        <w:gridCol w:w="109"/>
        <w:gridCol w:w="987"/>
        <w:gridCol w:w="2351"/>
        <w:gridCol w:w="787"/>
      </w:tblGrid>
      <w:tr>
        <w:trPr/>
        <w:tc>
          <w:tcPr>
            <w:tcW w:w="85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 Per Share</w:t>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Unvested at December 31,2023</w:t>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3,034,203 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24,081 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(660,447)</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7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(44,248)</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Unvested at March 31, 2024</w:t>
            </w:r>
          </w:p>
        </w:tc>
        <w:tc>
          <w:tcPr>
            <w:tcW w:w="9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2,353,589 </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15.8 </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br/>
        <w:t xml:space="preserve">As of March 31, 2024, unrecognized compensation expense related to RSUs was approximately $31.2 million, which is expected to be recognized over a remaining weighted-average period of 0.9 years.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18"/>
        </w:rPr>
        <w:t>Options to Restricted Shares</w:t>
      </w:r>
      <w:r>
        <w:rPr>
          <w:color w:val="000000"/>
        </w:rPr>
        <w:t>—</w:t>
      </w:r>
      <w:r>
        <w:rPr>
          <w:rFonts w:ascii="Times New Roman;sans-serif" w:hAnsi="Times New Roman;sans-serif"/>
          <w:b w:val="false"/>
          <w:color w:val="000000"/>
          <w:sz w:val="18"/>
        </w:rPr>
        <w:t xml:space="preserve">Options to restricted shares were granted to certain employees and directors during 2021. See Note 16 to the consolidated financial statements included in the Annual Report on Form 10-K for additional information.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 summarized the Company’s options to restricted shares activity during the three months ended March 31, 2024:</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6"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1ae226876884df5aa3fa0a01a318c55_7">
        <w:r>
          <w:rPr>
            <w:rStyle w:val="InternetLink"/>
            <w:rFonts w:ascii="Times New Roman;sans-serif" w:hAnsi="Times New Roman;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903"/>
        <w:gridCol w:w="734"/>
        <w:gridCol w:w="741"/>
        <w:gridCol w:w="534"/>
        <w:gridCol w:w="502"/>
        <w:gridCol w:w="452"/>
        <w:gridCol w:w="109"/>
        <w:gridCol w:w="109"/>
        <w:gridCol w:w="109"/>
        <w:gridCol w:w="530"/>
        <w:gridCol w:w="1265"/>
        <w:gridCol w:w="298"/>
        <w:gridCol w:w="109"/>
        <w:gridCol w:w="109"/>
        <w:gridCol w:w="109"/>
        <w:gridCol w:w="553"/>
        <w:gridCol w:w="553"/>
        <w:gridCol w:w="555"/>
        <w:gridCol w:w="109"/>
        <w:gridCol w:w="109"/>
        <w:gridCol w:w="109"/>
        <w:gridCol w:w="413"/>
        <w:gridCol w:w="857"/>
        <w:gridCol w:w="334"/>
      </w:tblGrid>
      <w:tr>
        <w:trPr/>
        <w:tc>
          <w:tcPr>
            <w:tcW w:w="903"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2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w:t>
              <w:br/>
              <w:t>Remaining Contractual</w:t>
              <w:br/>
              <w:t>Term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w:t>
              <w:br/>
              <w:t>Intrinsic Value (000’s)</w:t>
            </w:r>
          </w:p>
        </w:tc>
      </w:tr>
      <w:tr>
        <w:trPr/>
        <w:tc>
          <w:tcPr>
            <w:tcW w:w="2378"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2378"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2378"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2378"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2378"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2378"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2378"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2378"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2378"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2378"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2378"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2378"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2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December 31, 2023</w:t>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20,046,080 </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(3,274)</w:t>
            </w:r>
          </w:p>
        </w:tc>
        <w:tc>
          <w:tcPr>
            <w:tcW w:w="4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(8,292)</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March 31, 2024</w:t>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20,034,514 </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 and exercisable, March 31, 2024</w:t>
            </w:r>
          </w:p>
        </w:tc>
        <w:tc>
          <w:tcPr>
            <w:tcW w:w="10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16,554,083 </w:t>
            </w:r>
          </w:p>
        </w:tc>
        <w:tc>
          <w:tcPr>
            <w:tcW w:w="4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At March 31, 2024, unrecognized compensation expense related to options to restricted shares was approximately $18.0 million, which is expected to be recognized over a remaining weighted-average period of 1.5 years.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18"/>
        </w:rPr>
        <w:t>Employee Stock Purchase Plan</w:t>
      </w:r>
      <w:r>
        <w:rPr>
          <w:color w:val="000000"/>
        </w:rPr>
        <w:t>—</w:t>
      </w:r>
      <w:r>
        <w:rPr>
          <w:rFonts w:ascii="Times New Roman;sans-serif" w:hAnsi="Times New Roman;sans-serif"/>
          <w:b w:val="false"/>
          <w:color w:val="000000"/>
          <w:sz w:val="18"/>
        </w:rPr>
        <w:t xml:space="preserve">The Employee Stock Purchase Plan (“ESPP”) allows eligible employees to purchase shares of our Class A Ordinary Shares at a discounted price, normally through payroll deductions, subject to the terms of the ESPP and applicable law. As of March 31, 2024, 0.9 million shares of our Class A Ordinary Shares were reserved for issuance under the ESPP. Compensation expense related to the ESPP was $0.1 million for three months ended March 31, 2024.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Share-Based Compensation Expense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following table presents the components and classification of share-based compensation for the three months ended March 31, 2024 and 2023 (in thousands): </w:t>
      </w:r>
    </w:p>
    <w:p>
      <w:pPr>
        <w:pStyle w:val="TextBody"/>
        <w:bidi w:val="0"/>
        <w:spacing w:before="0" w:after="0"/>
        <w:jc w:val="left"/>
        <w:rPr/>
      </w:pPr>
      <w:r>
        <w:rPr/>
      </w:r>
    </w:p>
    <w:tbl>
      <w:tblPr>
        <w:tblW w:w="6005" w:type="dxa"/>
        <w:jc w:val="left"/>
        <w:tblInd w:w="0" w:type="dxa"/>
        <w:tblLayout w:type="fixed"/>
        <w:tblCellMar>
          <w:top w:w="28" w:type="dxa"/>
          <w:left w:w="28" w:type="dxa"/>
          <w:bottom w:w="28" w:type="dxa"/>
          <w:right w:w="28" w:type="dxa"/>
        </w:tblCellMar>
      </w:tblPr>
      <w:tblGrid>
        <w:gridCol w:w="1147"/>
        <w:gridCol w:w="1007"/>
        <w:gridCol w:w="1010"/>
        <w:gridCol w:w="226"/>
        <w:gridCol w:w="748"/>
        <w:gridCol w:w="126"/>
        <w:gridCol w:w="126"/>
        <w:gridCol w:w="126"/>
        <w:gridCol w:w="126"/>
        <w:gridCol w:w="226"/>
        <w:gridCol w:w="748"/>
        <w:gridCol w:w="126"/>
        <w:gridCol w:w="109"/>
        <w:gridCol w:w="154"/>
      </w:tblGrid>
      <w:tr>
        <w:trPr/>
        <w:tc>
          <w:tcPr>
            <w:tcW w:w="114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 data and product development</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and marketing</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9,718 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15,475 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16,367 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18"/>
        </w:rPr>
      </w:pPr>
      <w:r>
        <w:rPr>
          <w:rFonts w:ascii="Times New Roman;sans-serif" w:hAnsi="Times New Roman;sans-serif"/>
          <w:b/>
          <w:color w:val="000000"/>
          <w:sz w:val="18"/>
        </w:rPr>
        <w:t>NOTE 13 - INCOME TAXES</w:t>
      </w:r>
    </w:p>
    <w:p>
      <w:pPr>
        <w:pStyle w:val="TextBody"/>
        <w:bidi w:val="0"/>
        <w:spacing w:lineRule="auto" w:line="288" w:before="220" w:after="283"/>
        <w:jc w:val="both"/>
        <w:rPr>
          <w:rFonts w:ascii="Times New Roman;sans-serif" w:hAnsi="Times New Roman;sans-serif"/>
          <w:b/>
          <w:color w:val="000000"/>
          <w:sz w:val="18"/>
        </w:rPr>
      </w:pPr>
      <w:r>
        <w:rPr>
          <w:rFonts w:ascii="Times New Roman;sans-serif" w:hAnsi="Times New Roman;sans-serif"/>
          <w:b/>
          <w:color w:val="000000"/>
          <w:sz w:val="18"/>
        </w:rPr>
        <w:t xml:space="preserve">Corporate Income Tax - Ordinary taxable income in Israel is subject to a corporate tax rate of 23%. </w:t>
      </w:r>
    </w:p>
    <w:p>
      <w:pPr>
        <w:pStyle w:val="TextBody"/>
        <w:bidi w:val="0"/>
        <w:spacing w:lineRule="auto" w:line="288" w:before="160" w:after="283"/>
        <w:jc w:val="both"/>
        <w:rPr>
          <w:rFonts w:ascii="Times New Roman;sans-serif" w:hAnsi="Times New Roman;sans-serif"/>
          <w:b w:val="false"/>
          <w:color w:val="000000"/>
          <w:sz w:val="18"/>
        </w:rPr>
      </w:pPr>
      <w:r>
        <w:rPr>
          <w:rFonts w:ascii="Times New Roman;sans-serif" w:hAnsi="Times New Roman;sans-serif"/>
          <w:b w:val="false"/>
          <w:color w:val="000000"/>
          <w:sz w:val="18"/>
        </w:rPr>
        <w:t>Pagaya has received an approval from the Israeli Tax authorities for Preferred Technological Enterprise (“PTE”) status and received approval on November 18, 2021. The approval is effective for the tax years 2020 through 2024. Income from a PTE is subject to 12% tax rate.</w:t>
      </w:r>
    </w:p>
    <w:p>
      <w:pPr>
        <w:pStyle w:val="TextBody"/>
        <w:bidi w:val="0"/>
        <w:spacing w:lineRule="auto" w:line="288" w:before="160" w:after="283"/>
        <w:jc w:val="both"/>
        <w:rPr/>
      </w:pPr>
      <w:r>
        <w:rPr>
          <w:rFonts w:ascii="Times New Roman;sans-serif" w:hAnsi="Times New Roman;sans-serif"/>
          <w:b/>
          <w:color w:val="000000"/>
          <w:sz w:val="18"/>
        </w:rPr>
        <w:t>Foreign Exchange Regulations in Israel</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Under the Foreign Exchange Regulations, the Company calculates its tax liability in U.S. Dollars according to certain orders. The tax liability, as calculated in U.S. Dollars is translated into NIS according to the exchange rate as of December 31st of each year.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7"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1ae226876884df5aa3fa0a01a318c5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16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Non-Israeli subsidiaries are taxed according to the tax laws in their respective countries of residence.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Company’s effective tax rates for the three months ended March 31, 2024 and 2023 are as follows (in thousands):</w:t>
      </w:r>
    </w:p>
    <w:p>
      <w:pPr>
        <w:pStyle w:val="TextBody"/>
        <w:bidi w:val="0"/>
        <w:spacing w:before="0" w:after="0"/>
        <w:jc w:val="both"/>
        <w:rPr/>
      </w:pPr>
      <w:r>
        <w:rPr/>
      </w:r>
    </w:p>
    <w:tbl>
      <w:tblPr>
        <w:tblW w:w="6502" w:type="dxa"/>
        <w:jc w:val="left"/>
        <w:tblInd w:w="0" w:type="dxa"/>
        <w:tblLayout w:type="fixed"/>
        <w:tblCellMar>
          <w:top w:w="28" w:type="dxa"/>
          <w:left w:w="28" w:type="dxa"/>
          <w:bottom w:w="28" w:type="dxa"/>
          <w:right w:w="28" w:type="dxa"/>
        </w:tblCellMar>
      </w:tblPr>
      <w:tblGrid>
        <w:gridCol w:w="781"/>
        <w:gridCol w:w="688"/>
        <w:gridCol w:w="691"/>
        <w:gridCol w:w="109"/>
        <w:gridCol w:w="109"/>
        <w:gridCol w:w="202"/>
        <w:gridCol w:w="202"/>
        <w:gridCol w:w="363"/>
        <w:gridCol w:w="1337"/>
        <w:gridCol w:w="475"/>
        <w:gridCol w:w="109"/>
        <w:gridCol w:w="109"/>
        <w:gridCol w:w="109"/>
        <w:gridCol w:w="196"/>
        <w:gridCol w:w="721"/>
        <w:gridCol w:w="301"/>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9"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545" w:type="dxa"/>
            <w:gridSpan w:val="6"/>
            <w:tcBorders/>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(26,659)</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(91,956)</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5,003 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Effective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Company’s tax rate is affected by recurring items, such as tax rates in foreign jurisdictions and the relative amounts of income the Company earns in those jurisdictions. The difference between the effective tax rate and the statuary tax rate in Israel mainly related to valuation allowance in Israel and tax expenses in the United States.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regularly assesses the need for a valuation allowance against its deferred tax assets. In making that assessment, the Company considers both positive and negative evidence related to the likelihood of realization of the deferred tax assets to determine, based on the weight of available evidence, whether it is more likely than not that some or all of the deferred tax assets will not be realized.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 provides a valuation allowance to offset certain deferred tax assets due to the uncertainty of realizing future tax benefits from its net operating loss carryforwards and other deferred tax assets.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NOTE 14 - NET LOSS PER SHARE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(loss) per share is presented in conformity with the two-class method required for multiple classes of ordinary share and participating securities.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following tables set forth the calculation of basic and diluted net loss per share attributable to ordinary shareholders for the three months ended March 31, 2024 and 2023 (in thousands, except share and per share data):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131"/>
        <w:gridCol w:w="1870"/>
        <w:gridCol w:w="1886"/>
        <w:gridCol w:w="109"/>
        <w:gridCol w:w="109"/>
        <w:gridCol w:w="244"/>
        <w:gridCol w:w="244"/>
        <w:gridCol w:w="441"/>
        <w:gridCol w:w="1617"/>
        <w:gridCol w:w="244"/>
        <w:gridCol w:w="109"/>
        <w:gridCol w:w="109"/>
        <w:gridCol w:w="109"/>
        <w:gridCol w:w="196"/>
        <w:gridCol w:w="628"/>
        <w:gridCol w:w="159"/>
      </w:tblGrid>
      <w:tr>
        <w:trPr/>
        <w:tc>
          <w:tcPr>
            <w:tcW w:w="2131"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333333"/>
                <w:sz w:val="18"/>
              </w:rPr>
            </w:pPr>
            <w:r>
              <w:rPr>
                <w:rFonts w:ascii="Times New Roman;sans-serif" w:hAnsi="Times New Roman;sans-serif"/>
                <w:b/>
                <w:color w:val="333333"/>
                <w:sz w:val="18"/>
              </w:rPr>
              <w:t>Three Months Ended March 31, 2024</w:t>
            </w:r>
          </w:p>
        </w:tc>
        <w:tc>
          <w:tcPr>
            <w:tcW w:w="1310" w:type="dxa"/>
            <w:gridSpan w:val="6"/>
            <w:tcBorders/>
          </w:tcPr>
          <w:p>
            <w:pPr>
              <w:pStyle w:val="TableContents"/>
              <w:bidi w:val="0"/>
              <w:spacing w:before="0" w:after="283"/>
              <w:jc w:val="left"/>
              <w:rPr>
                <w:sz w:val="4"/>
                <w:szCs w:val="4"/>
              </w:rPr>
            </w:pPr>
            <w:r>
              <w:rPr>
                <w:sz w:val="4"/>
                <w:szCs w:val="4"/>
              </w:rPr>
            </w:r>
          </w:p>
        </w:tc>
      </w:tr>
      <w:tr>
        <w:trPr/>
        <w:tc>
          <w:tcPr>
            <w:tcW w:w="5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B</w:t>
            </w:r>
          </w:p>
        </w:tc>
      </w:tr>
      <w:tr>
        <w:trPr/>
        <w:tc>
          <w:tcPr>
            <w:tcW w:w="5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Numerator: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3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Pagaya Technologies Ltd. ordinary shareholders,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(17,060)</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used for net loss per ordinary share,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51,852,148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12,652,310</w:t>
            </w:r>
          </w:p>
        </w:tc>
      </w:tr>
      <w:tr>
        <w:trPr/>
        <w:tc>
          <w:tcPr>
            <w:tcW w:w="5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attributable to ordinary shareholders,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(0.33)</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(0.33)</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109"/>
        <w:gridCol w:w="1849"/>
        <w:gridCol w:w="1865"/>
        <w:gridCol w:w="109"/>
        <w:gridCol w:w="109"/>
        <w:gridCol w:w="243"/>
        <w:gridCol w:w="243"/>
        <w:gridCol w:w="437"/>
        <w:gridCol w:w="1604"/>
        <w:gridCol w:w="243"/>
        <w:gridCol w:w="109"/>
        <w:gridCol w:w="109"/>
        <w:gridCol w:w="109"/>
        <w:gridCol w:w="196"/>
        <w:gridCol w:w="713"/>
        <w:gridCol w:w="158"/>
      </w:tblGrid>
      <w:tr>
        <w:trPr/>
        <w:tc>
          <w:tcPr>
            <w:tcW w:w="2109"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333333"/>
                <w:sz w:val="18"/>
              </w:rPr>
            </w:pPr>
            <w:r>
              <w:rPr>
                <w:rFonts w:ascii="Times New Roman;sans-serif" w:hAnsi="Times New Roman;sans-serif"/>
                <w:b/>
                <w:color w:val="333333"/>
                <w:sz w:val="18"/>
              </w:rPr>
              <w:t>Three Months Ended March 31, 2023</w:t>
            </w:r>
          </w:p>
        </w:tc>
        <w:tc>
          <w:tcPr>
            <w:tcW w:w="1394" w:type="dxa"/>
            <w:gridSpan w:val="6"/>
            <w:tcBorders/>
          </w:tcPr>
          <w:p>
            <w:pPr>
              <w:pStyle w:val="TableContents"/>
              <w:bidi w:val="0"/>
              <w:spacing w:before="0" w:after="283"/>
              <w:jc w:val="left"/>
              <w:rPr>
                <w:sz w:val="4"/>
                <w:szCs w:val="4"/>
              </w:rPr>
            </w:pPr>
            <w:r>
              <w:rPr>
                <w:sz w:val="4"/>
                <w:szCs w:val="4"/>
              </w:rPr>
            </w:r>
          </w:p>
        </w:tc>
      </w:tr>
      <w:tr>
        <w:trPr/>
        <w:tc>
          <w:tcPr>
            <w:tcW w:w="5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B</w:t>
            </w:r>
          </w:p>
        </w:tc>
      </w:tr>
      <w:tr>
        <w:trPr/>
        <w:tc>
          <w:tcPr>
            <w:tcW w:w="5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Numerator: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58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58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5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Pagaya Technologies Ltd. ordinary shareholders,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(45,971)</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used for net loss per ordinary share,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44,677,998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14,577,866</w:t>
            </w:r>
          </w:p>
        </w:tc>
      </w:tr>
      <w:tr>
        <w:trPr/>
        <w:tc>
          <w:tcPr>
            <w:tcW w:w="5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attributable to ordinary shareholders,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8"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1ae226876884df5aa3fa0a01a318c5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potentially dilutive outstanding securities as of March 31, 2024 and 2023 were excluded from the computation of diluted net income (loss) per share because their effect would have been anti-dilutive for the periods: </w:t>
      </w:r>
    </w:p>
    <w:p>
      <w:pPr>
        <w:pStyle w:val="TextBody"/>
        <w:bidi w:val="0"/>
        <w:spacing w:before="0" w:after="0"/>
        <w:jc w:val="left"/>
        <w:rPr/>
      </w:pPr>
      <w:r>
        <w:rPr/>
      </w:r>
    </w:p>
    <w:tbl>
      <w:tblPr>
        <w:tblW w:w="6315" w:type="dxa"/>
        <w:jc w:val="left"/>
        <w:tblInd w:w="0" w:type="dxa"/>
        <w:tblLayout w:type="fixed"/>
        <w:tblCellMar>
          <w:top w:w="28" w:type="dxa"/>
          <w:left w:w="28" w:type="dxa"/>
          <w:bottom w:w="28" w:type="dxa"/>
          <w:right w:w="28" w:type="dxa"/>
        </w:tblCellMar>
      </w:tblPr>
      <w:tblGrid>
        <w:gridCol w:w="1147"/>
        <w:gridCol w:w="1002"/>
        <w:gridCol w:w="1015"/>
        <w:gridCol w:w="109"/>
        <w:gridCol w:w="109"/>
        <w:gridCol w:w="109"/>
        <w:gridCol w:w="479"/>
        <w:gridCol w:w="482"/>
        <w:gridCol w:w="156"/>
        <w:gridCol w:w="109"/>
        <w:gridCol w:w="109"/>
        <w:gridCol w:w="109"/>
        <w:gridCol w:w="479"/>
        <w:gridCol w:w="482"/>
        <w:gridCol w:w="156"/>
        <w:gridCol w:w="109"/>
        <w:gridCol w:w="154"/>
      </w:tblGrid>
      <w:tr>
        <w:trPr/>
        <w:tc>
          <w:tcPr>
            <w:tcW w:w="1147"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3,766,593 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5,699,683 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Options to restricted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20,034,514 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20,168,906 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2,353,589 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3,711,114 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Ordinary share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2,016,326 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2,159,421 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Redeemable convertible preferred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potential dilutive outstanding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33,171,022 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31,739,124 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490"/>
        <w:jc w:val="left"/>
        <w:rPr>
          <w:rFonts w:ascii="Times New Roman;sans-serif" w:hAnsi="Times New Roman;sans-serif"/>
          <w:b/>
          <w:color w:val="000000"/>
          <w:sz w:val="18"/>
        </w:rPr>
      </w:pPr>
      <w:r>
        <w:rPr>
          <w:rFonts w:ascii="Times New Roman;sans-serif" w:hAnsi="Times New Roman;sans-serif"/>
          <w:b/>
          <w:color w:val="000000"/>
          <w:sz w:val="18"/>
        </w:rPr>
        <w:t xml:space="preserve">NOTE 15 - SUBSEQUENT EVENTS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evaluated subsequent events from the balance sheet date through the date that the condensed consolidated financial statements were available to be issued and did not identify any subsequent events that would require adjustment or disclosure in the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29"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1ae226876884df5aa3fa0a01a318c5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Item 2. MANAGEMENT’S DISCUSSION AND ANALYSIS OF FINANCIAL CONDITION AND RESULTS OF OPERATIONS</w:t>
      </w:r>
    </w:p>
    <w:p>
      <w:pPr>
        <w:pStyle w:val="TextBody"/>
        <w:bidi w:val="0"/>
        <w:spacing w:lineRule="auto" w:line="288" w:before="0" w:after="0"/>
        <w:jc w:val="both"/>
        <w:rPr>
          <w:rFonts w:ascii="Times New Roman;sans-serif" w:hAnsi="Times New Roman;sans-serif"/>
          <w:b w:val="false"/>
          <w:i/>
          <w:color w:val="000000"/>
          <w:sz w:val="18"/>
        </w:rPr>
      </w:pPr>
      <w:r>
        <w:rPr>
          <w:rFonts w:ascii="Times New Roman;sans-serif" w:hAnsi="Times New Roman;sans-serif"/>
          <w:b w:val="false"/>
          <w:i/>
          <w:color w:val="000000"/>
          <w:sz w:val="18"/>
        </w:rPr>
        <w:t>You should read the following discussion and analysis of our financial condition and results of operations together with the unaudited condensed consolidated interim financial statements included elsewhere in this Quarterly Report on Form 10-Q (“Form 10-Q”) and our audited annual consolidated financial statements as of and for the years ended December 31, 2023 and 2022, and the related notes included in our Annual Report on Form 10-K filed with the SEC on April 25, 2024 (“our Annual Report on Form 10-K”). Some of the information contained in this discussion and analysis, including information with respect to our plans and strategy for our business and related financing, includes forward-looking statements that involve risks and uncertainties. As a result of many factors, including those factors set forth in the “Risk Factors” section of our Annual Report on Form 10-K, our actual results could differ materially from the results described in or implied by the forward-looking statements contained in the following discussion and analysis. In this section “we,” “us,” “our” and “Pagaya” refer to Pagaya Technologies Ltd.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18"/>
          <w:shd w:fill="FFFFFF" w:val="clear"/>
        </w:rPr>
      </w:pPr>
      <w:r>
        <w:rPr>
          <w:rFonts w:ascii="Times New Roman;sans-serif" w:hAnsi="Times New Roman;sans-serif"/>
          <w:b/>
          <w:color w:val="000000"/>
          <w:sz w:val="18"/>
          <w:shd w:fill="FFFFFF" w:val="clear"/>
        </w:rPr>
        <w:t>Company Overview</w:t>
      </w:r>
    </w:p>
    <w:p>
      <w:pPr>
        <w:pStyle w:val="TextBody"/>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Pagaya’s mission is to deliver more financial opportunity to more people, more often. We believe our mission will be accomplished by becoming the trusted lending technology partner for the consumer finance ecosystem, with an expansive product suite (the fee-generating side of our business) fueled by effective and efficient capital and risk management (the capital efficiency side of our business). Both sides of our business working harmoniously to meet the complex needs of the leading financial institutions. </w:t>
      </w:r>
    </w:p>
    <w:p>
      <w:pPr>
        <w:pStyle w:val="TextBody"/>
        <w:bidi w:val="0"/>
        <w:spacing w:lineRule="auto" w:line="276"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We are a product-focused technology company that deploys sophisticated data science and proprietary, AI-powered technology to enable better outcomes for financial institutions, their existing and potential customers, and institutional or sophisticated investors. </w:t>
      </w:r>
    </w:p>
    <w:p>
      <w:pPr>
        <w:pStyle w:val="TextBody"/>
        <w:bidi w:val="0"/>
        <w:spacing w:lineRule="auto" w:line="26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We have built, and we are continuing to scale, a leading AI and data network for the benefit of financial services and other service providers, their customers, and investors. Services providers integrated in our network, which we refer to as our ‘‘Partners,’’ range from high-growth financial technology companies to incumbent banks and financial institutions. We believe Partners benefit from our network to extend financial products to their customers, in turn helping those customers fulfill their financial needs. These assets originated by Partners with the assistance of Pagaya’s AI technology are eligible to be acquired by Financing Vehicles: (i) funds managed or advised by Pagaya or one of its affiliates, (ii) securitization vehicles sponsored or administered by Pagaya or one of its affiliates and (iii) other similar vehicles (“Financing Vehicles”).</w:t>
      </w:r>
    </w:p>
    <w:p>
      <w:pPr>
        <w:pStyle w:val="TextBody"/>
        <w:bidi w:val="0"/>
        <w:spacing w:lineRule="auto" w:line="288" w:before="160" w:after="283"/>
        <w:jc w:val="both"/>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In recent years, investments in digitization have improved the front-end delivery of financial products, upgrading customer experience and convenience. Notwithstanding these advances, we believe underlying approaches to the determination of creditworthiness for financial products are often outdated and overly manual. In our experience, providers of financial services tend to utilize a limited number of factors to make decisions, operate with siloed technology infrastructure and have data limited to their own experience. As a result, we believe financial services providers approve a smaller proportion of their application volume than is possible with the benefit of modern technology, such as our AI technology and data network.</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At our core, we are a technology company that deploys data science and technology to drive better results across the financial ecosystem. We believe our solution drives a “win-win-win” for Partners, their customers and potential customers, and investors. First, by utilizing our network, Partners are able to approve more customer applications, which we believe drives superior revenue growth, enhanced brand affinity, opportunities to promote other financial products and decreased unit-level customer acquisition costs. Partners realize these benefits with limited incremental risk or funding requirements. Second, Partners’ customers benefit from enhanced and more convenient access to financial products. Third, investors benefit through gaining exposure to these assets originated by Partners with the assistance of our AI technology and acquired by the Financing Vehicles through our network.</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Emerging Growth Company Status</w:t>
      </w:r>
    </w:p>
    <w:p>
      <w:pPr>
        <w:pStyle w:val="TextBody"/>
        <w:bidi w:val="0"/>
        <w:spacing w:before="0" w:after="0"/>
        <w:jc w:val="center"/>
        <w:rPr/>
      </w:pPr>
      <w:r>
        <w:rPr/>
      </w:r>
    </w:p>
    <w:p>
      <w:pPr>
        <w:pStyle w:val="TextBody"/>
        <w:bidi w:val="0"/>
        <w:spacing w:lineRule="auto" w:line="26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We qualify as an “emerging growth company,” as defined in Section 2(a) of the Securities Act of 1933, as amended (the “Securities Act”), as modified by the Jumpstart Our Business Startups Act of 2012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30"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1ae226876884df5aa3fa0a01a318c55_7">
        <w:r>
          <w:rPr>
            <w:rStyle w:val="InternetLink"/>
            <w:rFonts w:ascii="Times New Roman;sans-serif" w:hAnsi="Times New Roman;sans-serif"/>
            <w:b w:val="false"/>
            <w:color w:val="0000FF"/>
            <w:sz w:val="18"/>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We will remain an emerging growth company until the earlier of: (i) the last day of the fiscal year (a) following the fifth anniversary of June 22, 2022, (b) in which we have an annual total gross revenue of at least $1.235 billion, or (c) in which we are deemed to be a large accelerated filer, which means the market value of our ordinary equity that is held by non-affiliates exceeds $700 million as of the last business day of the second fiscal quarter of such fiscal year; and (ii) the date on which we have issued more than $1 billion in non-convertible debt securities during the prior three-year period. References herein to “emerging growth company” have the meaning associated with it in the JOBS Act.</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Foreign Private Issuer Exemptions</w:t>
      </w:r>
    </w:p>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val="false"/>
          <w:color w:val="000000"/>
          <w:sz w:val="18"/>
        </w:rPr>
        <w:t>We are technically a “foreign private issuer” under U.S</w:t>
      </w:r>
      <w:r>
        <w:rPr>
          <w:rFonts w:ascii="Times New Roman;sans-serif" w:hAnsi="Times New Roman;sans-serif"/>
          <w:b w:val="false"/>
          <w:color w:val="000000"/>
          <w:sz w:val="18"/>
          <w:shd w:fill="FFFFFF" w:val="clear"/>
        </w:rPr>
        <w:t>. Securities and Exchange Commission rules</w:t>
      </w:r>
      <w:r>
        <w:rPr>
          <w:rFonts w:ascii="Times New Roman;sans-serif" w:hAnsi="Times New Roman;sans-serif"/>
          <w:b w:val="false"/>
          <w:color w:val="000000"/>
          <w:sz w:val="18"/>
        </w:rPr>
        <w:t xml:space="preserve">. Consequently, we are subject to the reporting requirements under the Exchange Act applicable to foreign private issuers. That said, as previously disclosed on January 16, 2024, we have decided to voluntarily file on U.S. domestic issuer forms with the SEC beginning in 2024. Accordingly, the Company will be filing its quarterly reports on Form 10-Q, current reports on Form 8-K, and its annual reports on Form 10-K, and will no longer report on forms 20-F and 6-K. In addition, the Company intends to comply with Regulation FD and the SEC’s proxy rules, and the Company's officers, directors, and 10% shareholders will now also begin reporting on Forms 3, 4 and 5, as applicable.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Nevertheless, since we are a foreign private issuer (“FPI”), we could elect to return to follow FPI reporting requirements, such as not having to file our annual report on Form 20-F until 120 days after the end of each fiscal year and permitting us to furnish reports on Form 6-K to the SEC regarding certain information required to be publicly disclosed by us in Israel or that is distributed or required to be distributed by us to our shareholders. Based on our foreign private issuer status, we are also not required to (i) file periodic reports and financial statements with the SEC as frequently or as promptly as a U.S. company whose securities are registered under the Exchange Act, (ii) comply with Regulation FD, which addresses certain restrictions on the selective disclosure of material information or (iii) comply with SEC rules relating to proxy solicitation in connection with shareholder meetings and presentation of shareholder proposals. In addition, among other matters, based on our foreign private issuer status, our officers, directors and principal shareholders are technically exempt from the reporting and “short-swing” profit recovery provisions of Section 16 of the Exchange Act and the rules under the Exchange Act with respect to their purchases and sales of the Ordinary Shares.</w:t>
      </w:r>
    </w:p>
    <w:p>
      <w:pPr>
        <w:pStyle w:val="TextBody"/>
        <w:bidi w:val="0"/>
        <w:spacing w:before="0" w:after="0"/>
        <w:jc w:val="both"/>
        <w:rPr/>
      </w:pPr>
      <w:r>
        <w:rPr/>
      </w:r>
    </w:p>
    <w:p>
      <w:pPr>
        <w:pStyle w:val="TextBody"/>
        <w:bidi w:val="0"/>
        <w:spacing w:lineRule="auto" w:line="288" w:before="0" w:after="0"/>
        <w:jc w:val="center"/>
        <w:rPr/>
      </w:pPr>
      <w:r>
        <w:rPr>
          <w:rFonts w:ascii="Times New Roman;sans-serif" w:hAnsi="Times New Roman;sans-serif"/>
          <w:b/>
          <w:color w:val="000000"/>
          <w:sz w:val="18"/>
          <w:shd w:fill="FFFFFF" w:val="clear"/>
        </w:rPr>
        <w:t>Our</w:t>
      </w:r>
      <w:r>
        <w:rPr>
          <w:color w:val="000000"/>
        </w:rPr>
        <w:t xml:space="preserve"> </w:t>
      </w:r>
      <w:r>
        <w:rPr>
          <w:rFonts w:ascii="Times New Roman;sans-serif" w:hAnsi="Times New Roman;sans-serif"/>
          <w:b/>
          <w:color w:val="000000"/>
          <w:sz w:val="18"/>
        </w:rPr>
        <w:t>Economic Model</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18"/>
        </w:rPr>
        <w:t>Pagaya’s revenues are primarily derived from Network Volume. We define Network Volume as the gross dollar value of assets originated by our Partners with the assistance of our artificial intelligence (“AI”) technology</w:t>
      </w: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and, with respect to single-family rental operations, the gross dollar value of services, which may include the value of newly onboarded properties onto our Darwin platform. We generate revenue from network AI fees, contract fees, interest income and investment income. Revenue from fees is comprised of network AI fees and contract fees. Network AI fees can be further broken down into two fee streams: AI integration fees and capital markets execution fees.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We primarily earn AI integration fees for the creation and delivery of the assets that comprise our Network Volume.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Capital markets execution and contract fees are primarily earned from investors. Multiple funding channels are utilized to enable the purchase of network assets from our Partners, such as asset backed securitizations. Capital markets execution fees are primarily earned from the market pricing of ABS transactions while contract fees are management, performance and similar fees.</w:t>
      </w:r>
    </w:p>
    <w:p>
      <w:pPr>
        <w:pStyle w:val="TextBody"/>
        <w:bidi w:val="0"/>
        <w:spacing w:lineRule="auto" w:line="276" w:before="0" w:after="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Our proprietary technology uses machine learning models as a subset of artificial intelligence that go through extensive testing, validation, and governance processes before they can be used or modified. The machine learning models are static and do not have the ability to self-correct, self-improve, and/or learn over time. Any change to the models requires human intervention, testing, validation, and governance approvals before a change can be made.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31"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1ae226876884df5aa3fa0a01a318c55_7">
        <w:r>
          <w:rPr>
            <w:rStyle w:val="InternetLink"/>
            <w:rFonts w:ascii="Times New Roman;sans-serif" w:hAnsi="Times New Roman;sans-serif"/>
            <w:b w:val="false"/>
            <w:color w:val="0000FF"/>
            <w:sz w:val="18"/>
            <w:u w:val="single"/>
          </w:rPr>
          <w:t>Table of Contents</w:t>
        </w:r>
      </w:hyperlink>
    </w:p>
    <w:p>
      <w:pPr>
        <w:pStyle w:val="TextBody"/>
        <w:bidi w:val="0"/>
        <w:spacing w:lineRule="auto" w:line="276" w:before="16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Additionally, we earn interest income from our risk retention holdings and our corporate cash balances and investment income associated with our ownership interests in certain Financing Vehicles and other proprietary investments.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We incur costs when Network Volume is acquired by the Financing Vehicles. These costs, which we refer to as ‘‘Production Costs,’’ compensate our Partners for acquiring and originating assets. Accordingly, the amount and growth of our Production Costs are highly correlated to Network Volume. An important operating metric to evaluate the success of our economic model, therefore, is FRLPC, or fee revenue less Production Costs.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Additionally, we have built what we believe to be a leading data science and AI organization that has enabled us to assist our Partners as they make decisions to extend credit to consumers or for the identification and purchase, or property management, of single-family rental properties. Excluding Production Costs, headcount, technology overhead and research and development expenses represent the significant portion of our expenses.</w:t>
      </w:r>
    </w:p>
    <w:p>
      <w:pPr>
        <w:pStyle w:val="TextBody"/>
        <w:bidi w:val="0"/>
        <w:spacing w:lineRule="auto" w:line="333" w:before="220" w:after="283"/>
        <w:jc w:val="center"/>
        <w:rPr/>
      </w:pPr>
      <w:r>
        <w:rPr>
          <w:rFonts w:ascii="Times New Roman;sans-serif" w:hAnsi="Times New Roman;sans-serif"/>
          <w:b/>
          <w:color w:val="000000"/>
          <w:sz w:val="18"/>
          <w:shd w:fill="FFFFFF" w:val="clear"/>
        </w:rPr>
        <w:t>Key</w:t>
      </w:r>
      <w:r>
        <w:rPr>
          <w:color w:val="000000"/>
        </w:rPr>
        <w:t xml:space="preserve"> </w:t>
      </w:r>
      <w:r>
        <w:rPr>
          <w:rFonts w:ascii="Times New Roman;sans-serif" w:hAnsi="Times New Roman;sans-serif"/>
          <w:b/>
          <w:color w:val="000000"/>
          <w:sz w:val="18"/>
        </w:rPr>
        <w:t>Factors Affecting Our Performance</w:t>
      </w:r>
    </w:p>
    <w:p>
      <w:pPr>
        <w:pStyle w:val="TextBody"/>
        <w:bidi w:val="0"/>
        <w:spacing w:lineRule="auto" w:line="288" w:before="220" w:after="283"/>
        <w:jc w:val="both"/>
        <w:rPr>
          <w:rFonts w:ascii="Times New Roman;sans-serif" w:hAnsi="Times New Roman;sans-serif"/>
          <w:b/>
          <w:color w:val="000000"/>
          <w:sz w:val="18"/>
        </w:rPr>
      </w:pPr>
      <w:r>
        <w:rPr>
          <w:rFonts w:ascii="Times New Roman;sans-serif" w:hAnsi="Times New Roman;sans-serif"/>
          <w:b/>
          <w:color w:val="000000"/>
          <w:sz w:val="18"/>
        </w:rPr>
        <w:t xml:space="preserve">Expanded Usage of Our Network by Our Existing Partners </w:t>
      </w:r>
    </w:p>
    <w:p>
      <w:pPr>
        <w:pStyle w:val="TextBody"/>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Our AI technology typically enables Partners to convert a larger proportion of their application volume into originated loans, enabling them to expand their ecosystem and generate incremental revenues. Our Partners have historically seen rapid scaling of origination volume on our network shortly after onboarding and the contribution of Pagaya’s network to Partners’ total origination volume tends to increase over time. By integrating our product, connected lenders can increase originations by up to 25% in some cases.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 xml:space="preserve">Adoption of Our Network by Partners </w:t>
      </w:r>
    </w:p>
    <w:p>
      <w:pPr>
        <w:pStyle w:val="TextBody"/>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We devote significant time to, and have a team that focuses on, onboarding and managing Partners to our network. We believe that our success in adding new Partners to our network is driven by our distinctive value proposition: driving significant revenue uplift to our Partners at limited incremental cost or credit risk to the Partner. Our success adding new Partners has contributed to our overall Network Volume growth and driven our ability to rapidly scale new asset classes. In 2022, we onboarded six new Partners, including Klarna and Ally Financial. In 2023, we expanded our network with four new Partners, including U.S. Bank, a top 5 auto captive, Exeter Finance and Westlake Financial.</w:t>
      </w:r>
    </w:p>
    <w:p>
      <w:pPr>
        <w:pStyle w:val="TextBody"/>
        <w:bidi w:val="0"/>
        <w:spacing w:lineRule="auto" w:line="288" w:before="220" w:after="283"/>
        <w:jc w:val="both"/>
        <w:rPr>
          <w:rFonts w:ascii="Times New Roman;sans-serif" w:hAnsi="Times New Roman;sans-serif"/>
          <w:b/>
          <w:color w:val="000000"/>
          <w:sz w:val="18"/>
        </w:rPr>
      </w:pPr>
      <w:r>
        <w:rPr>
          <w:rFonts w:ascii="Times New Roman;sans-serif" w:hAnsi="Times New Roman;sans-serif"/>
          <w:b/>
          <w:color w:val="000000"/>
          <w:sz w:val="18"/>
        </w:rPr>
        <w:t xml:space="preserve">Continued Improvements to Our AI Technology </w:t>
      </w:r>
    </w:p>
    <w:p>
      <w:pPr>
        <w:pStyle w:val="TextBody"/>
        <w:bidi w:val="0"/>
        <w:spacing w:lineRule="auto" w:line="288" w:before="220" w:after="283"/>
        <w:jc w:val="both"/>
        <w:rPr/>
      </w:pPr>
      <w:r>
        <w:rPr>
          <w:rFonts w:ascii="Times New Roman;sans-serif" w:hAnsi="Times New Roman;sans-serif"/>
          <w:b w:val="false"/>
          <w:color w:val="000000"/>
          <w:sz w:val="18"/>
        </w:rPr>
        <w:t xml:space="preserve">We believe our historical growth has been </w:t>
      </w:r>
      <w:r>
        <w:rPr>
          <w:rFonts w:ascii="Times New Roman;sans-serif" w:hAnsi="Times New Roman;sans-serif"/>
          <w:b w:val="false"/>
          <w:color w:val="000000"/>
          <w:sz w:val="18"/>
          <w:shd w:fill="FFFFFF" w:val="clear"/>
        </w:rPr>
        <w:t>significantly influenced by improvements to our AI technology, which are in turn driven both by the deepening of our proprietary data network and the strengthening of our AI technology. As our existing Partners grow their usage of our network, new Partners join our network, and as we expand our network into new asset classes, the value of our data asset increa</w:t>
      </w:r>
      <w:r>
        <w:rPr>
          <w:rFonts w:ascii="Times New Roman;sans-serif" w:hAnsi="Times New Roman;sans-serif"/>
          <w:b w:val="false"/>
          <w:color w:val="000000"/>
          <w:sz w:val="18"/>
        </w:rPr>
        <w:t>ses. Our technology improvements thus benefit from a flywheel effect that is characteristic of AI technology, in that improvements are derived from a continually increasing base of training data for our technology. We have found, and we expect to continue to experience, that more data leads to more efficient pricing and greater Network Volume. Since inception, we have evaluated more than $2.0 trillion in application volume.</w:t>
      </w:r>
    </w:p>
    <w:p>
      <w:pPr>
        <w:pStyle w:val="TextBody"/>
        <w:bidi w:val="0"/>
        <w:spacing w:lineRule="auto" w:line="288" w:before="16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 addition to the accumulation of data, we make improvements to our technology by leveraging the experience of our research and development specialists. Our research team is central to accelerating the sophistication of our AI technology and expanding into new markets and use cases. We are reliant on these experts’ success in making these improvements to our technology over time. </w:t>
      </w:r>
    </w:p>
    <w:p>
      <w:pPr>
        <w:pStyle w:val="TextBody"/>
        <w:bidi w:val="0"/>
        <w:spacing w:lineRule="auto" w:line="288" w:before="220" w:after="283"/>
        <w:jc w:val="both"/>
        <w:rPr>
          <w:rFonts w:ascii="Times New Roman;sans-serif" w:hAnsi="Times New Roman;sans-serif"/>
          <w:b/>
          <w:color w:val="000000"/>
          <w:sz w:val="18"/>
        </w:rPr>
      </w:pPr>
      <w:r>
        <w:rPr>
          <w:rFonts w:ascii="Times New Roman;sans-serif" w:hAnsi="Times New Roman;sans-serif"/>
          <w:b/>
          <w:color w:val="000000"/>
          <w:sz w:val="18"/>
        </w:rPr>
        <w:t xml:space="preserve">Availability and Pricing of Funding from Investors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Regardless of market conditions, the availability and pricing of funding from investors is critical to our growth. We have diversified our investor network and will continue to seek to further diversify our investor base. In the three months ended March 31, 2024, our top 5 ABS investors contributed approximately 49% of our total ABS funding, compared to 50% in the year ended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32"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1ae226876884df5aa3fa0a01a318c55_7">
        <w:r>
          <w:rPr>
            <w:rStyle w:val="InternetLink"/>
            <w:rFonts w:ascii="Times New Roman;sans-serif" w:hAnsi="Times New Roman;sans-serif"/>
            <w:b w:val="false"/>
            <w:color w:val="0000FF"/>
            <w:sz w:val="18"/>
            <w:u w:val="single"/>
          </w:rPr>
          <w:t>Table of Contents</w:t>
        </w:r>
      </w:hyperlink>
    </w:p>
    <w:p>
      <w:pPr>
        <w:pStyle w:val="TextBody"/>
        <w:bidi w:val="0"/>
        <w:spacing w:before="0" w:after="0"/>
        <w:jc w:val="both"/>
        <w:rPr/>
      </w:pPr>
      <w:r>
        <w:rPr/>
        <w:drawing>
          <wp:inline distT="0" distB="0" distL="0" distR="0">
            <wp:extent cx="5943600" cy="2124075"/>
            <wp:effectExtent l="0" t="0" r="0" b="0"/>
            <wp:docPr id="3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 descr=""/>
                    <pic:cNvPicPr>
                      <a:picLocks noChangeAspect="1" noChangeArrowheads="1"/>
                    </pic:cNvPicPr>
                  </pic:nvPicPr>
                  <pic:blipFill>
                    <a:blip r:embed="rId2"/>
                    <a:stretch>
                      <a:fillRect/>
                    </a:stretch>
                  </pic:blipFill>
                  <pic:spPr bwMode="auto">
                    <a:xfrm>
                      <a:off x="0" y="0"/>
                      <a:ext cx="5943600" cy="2124075"/>
                    </a:xfrm>
                    <a:prstGeom prst="rect">
                      <a:avLst/>
                    </a:prstGeom>
                  </pic:spPr>
                </pic:pic>
              </a:graphicData>
            </a:graphic>
          </wp:inline>
        </w:drawing>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 xml:space="preserve">Performance of Assets Originated with the Assistance of Our Proprietary Technology </w:t>
      </w:r>
    </w:p>
    <w:p>
      <w:pPr>
        <w:pStyle w:val="TextBody"/>
        <w:bidi w:val="0"/>
        <w:spacing w:lineRule="auto" w:line="288" w:before="220" w:after="283"/>
        <w:jc w:val="both"/>
        <w:rPr/>
      </w:pPr>
      <w:r>
        <w:rPr>
          <w:rFonts w:ascii="Times New Roman;sans-serif" w:hAnsi="Times New Roman;sans-serif"/>
          <w:b w:val="false"/>
          <w:color w:val="000000"/>
          <w:sz w:val="18"/>
        </w:rPr>
        <w:t>The availability of funding from investors is a function of demand for consumer credit and residential real estate assets, as well as the performance of such assets originated with the assistance of our AI technology and purchased by Financing Vehicles. Our AI technology and data-driven insights are designed to enable relative outperformance versus the broader market. We believe that investors in Financing Vehicles view our AI technology as an important component in delivering assets that meet their investment criteria. See “</w:t>
      </w:r>
      <w:r>
        <w:rPr>
          <w:rFonts w:ascii="Times New Roman;sans-serif" w:hAnsi="Times New Roman;sans-serif"/>
          <w:b w:val="false"/>
          <w:i/>
          <w:color w:val="000000"/>
          <w:sz w:val="18"/>
        </w:rPr>
        <w:t>Risk Factors—Risks Related to the Operations of Our Business</w:t>
      </w:r>
      <w:r>
        <w:rPr>
          <w:color w:val="000000"/>
        </w:rPr>
        <w:t xml:space="preserve">” </w:t>
      </w:r>
      <w:r>
        <w:rPr>
          <w:rFonts w:ascii="Times New Roman;sans-serif" w:hAnsi="Times New Roman;sans-serif"/>
          <w:b w:val="false"/>
          <w:color w:val="000000"/>
          <w:sz w:val="18"/>
        </w:rPr>
        <w:t>in our Annual Report on Form 10-K, which was filed with the SEC on April 25, 2024.</w:t>
      </w:r>
    </w:p>
    <w:p>
      <w:pPr>
        <w:pStyle w:val="TextBody"/>
        <w:bidi w:val="0"/>
        <w:spacing w:lineRule="auto" w:line="288" w:before="220" w:after="283"/>
        <w:jc w:val="both"/>
        <w:rPr>
          <w:rFonts w:ascii="Times New Roman;sans-serif" w:hAnsi="Times New Roman;sans-serif"/>
          <w:b/>
          <w:color w:val="000000"/>
          <w:sz w:val="18"/>
        </w:rPr>
      </w:pPr>
      <w:r>
        <w:rPr>
          <w:rFonts w:ascii="Times New Roman;sans-serif" w:hAnsi="Times New Roman;sans-serif"/>
          <w:b/>
          <w:color w:val="000000"/>
          <w:sz w:val="18"/>
        </w:rPr>
        <w:t>Impact of Macroeconomic Cycles and Global and Regional Conditions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We expect economic cycles to affect our financial performance and related metrics. Macroeconomic conditions, including, but not limited to the evolving conflict in Israel, rising interest rates, inflation, supply chain disruptions, labor shortages, bank failures, U.S. deficit concerns, and the Russian invasion of Ukraine, may impact consumer demand for financial products, our Partners’ ability to generate and convert customer application volume, as well as the availability of funding from our investors through the Financing Vehicles. On October 7, 2023, a terrorist organization primarily based in the Gaza Strip launched a series of attacks on Israel, igniting a war with Israel. The conflict is rapidly evolving and developing, and the intensity and duration of the current war and any escalation is difficult to predict, as are its economic impacts on the Company’s business and operations and on regional and global political and economic conditions in general. Although the Company’s business operations have not been materially impacted due to this evolving conflict as of the date of this Report, our business, financial condition, results of operations and prospects may be adversely affected due to the ongoing nature of this conflict. The recent rise in inflation and corresponding rapid rise in interest rates may increase financing costs and adversely impact the ability of borrowers to service their debt, which could lead to deterioration of the credit performance of loans and impact investor returns, and therefore may result in lower demand from investors for assets generated on our platform and lead to constraints on our ability to fund new Network Volume. In addition, rising inflation may create an escalation in our operating costs, including employee compensation, financing costs, and general corporate expenses, which could reduce our cash flow and operating income. As of the date of this report, we have not experienced material impacts to our business performance from inflationary pressure. Higher interest rates often lead to higher payment obligations, which may reduce the ability of borrowers to remain current on their obligations and therefore, lead to increased delinquencies, defaults, customer bankruptcies, charge-offs, and decreasing recoveries. Any impact to investor returns may lead to an adverse impact on our earnings. The increased risk-free rate of return may impact investor demand for risk assets such as consumer credit, which may constrain our ability to raise new funding for Network Volume. While our ability to raise new funding has not been materially impacted, the cost of capital has increased due to the higher interest rate environment which has led to a reduction in conversion ratio to meet investor return hurdles, more than offset by an increase in application volume to our network from our Partners, resulting in net growth in Network Volume this year. We continue to closely monitor the ongoing Russia-Ukraine conflict and its global impacts. While the outcome remains highly uncertain, we do not believe the ongoing Russia-Ukraine conflict will have a material impact on our business and results of operation. However, if the Russia-Ukraine conflict continues or worsens, leading to greater global economic disruptions and uncertainty, our business and results of operations could be materially impacted. Adverse developments that affect financial institutions, transactional counterparties or other third parties, such as bank failures and protracted U.S. federal debt ceiling negotiations, or concerns or speculation about any similar events or risks, could lead to credit downgrades and market-wide liquidity problems, which in turn may cause Partners and their customers and other third parties to become unable to meet their obligations under various types of financial arrangements as well as general disruptions or instability in the financial markets, which may adversely affect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4"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1ae226876884df5aa3fa0a01a318c5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both"/>
        <w:rPr/>
      </w:pPr>
      <w:r>
        <w:rPr>
          <w:rFonts w:ascii="Times New Roman;sans-serif" w:hAnsi="Times New Roman;sans-serif"/>
          <w:b w:val="false"/>
          <w:color w:val="000000"/>
          <w:sz w:val="18"/>
        </w:rPr>
        <w:t>business. A prolonged economic downturn may also adversely affect the performance of assets that Financing Vehicles acquire from our network. At the same time, such events, including the COVID-19 pandemic or the inflationary environment, provide key data that we can utilize to improve our AI technology, and they may also help to validate the outcomes our network drives for both Partners and investors. For a further discussion of uncertainties and other factors that could impact our operating results, see “</w:t>
      </w:r>
      <w:r>
        <w:rPr>
          <w:rFonts w:ascii="Times New Roman;sans-serif" w:hAnsi="Times New Roman;sans-serif"/>
          <w:b w:val="false"/>
          <w:i/>
          <w:color w:val="000000"/>
          <w:sz w:val="18"/>
        </w:rPr>
        <w:t>Risk Factors</w:t>
      </w:r>
      <w:r>
        <w:rPr>
          <w:color w:val="000000"/>
        </w:rPr>
        <w:t xml:space="preserve">” </w:t>
      </w:r>
      <w:r>
        <w:rPr>
          <w:rFonts w:ascii="Times New Roman;sans-serif" w:hAnsi="Times New Roman;sans-serif"/>
          <w:b w:val="false"/>
          <w:color w:val="000000"/>
          <w:sz w:val="18"/>
        </w:rPr>
        <w:t>section in our Annual Report on Form 10-K, which was filed with the SEC on April 25,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20" w:after="283"/>
        <w:jc w:val="center"/>
        <w:rPr/>
      </w:pPr>
      <w:r>
        <w:rPr>
          <w:rFonts w:ascii="Times New Roman;sans-serif" w:hAnsi="Times New Roman;sans-serif"/>
          <w:b/>
          <w:color w:val="000000"/>
          <w:sz w:val="18"/>
          <w:shd w:fill="FFFFFF" w:val="clear"/>
        </w:rPr>
        <w:t>Key</w:t>
      </w:r>
      <w:r>
        <w:rPr>
          <w:color w:val="000000"/>
        </w:rPr>
        <w:t xml:space="preserve"> </w:t>
      </w:r>
      <w:r>
        <w:rPr>
          <w:rFonts w:ascii="Times New Roman;sans-serif" w:hAnsi="Times New Roman;sans-serif"/>
          <w:b/>
          <w:color w:val="000000"/>
          <w:sz w:val="18"/>
        </w:rPr>
        <w:t>Operating Metric</w:t>
      </w:r>
    </w:p>
    <w:p>
      <w:pPr>
        <w:pStyle w:val="TextBody"/>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We collect and analyze operating and financial data of our business to assess our performance, formulate financial projections and make strategic decisions. In addition to total revenues, net operating income (loss), other measures under U.S. GAAP, and certain non-GAAP financial measures (see discussion and reconciliation herein titled “Reconciliation of Non-GAAP Financial Measures”), we consider Network Volume to be a key operating metric we use to evaluate our business. The following table sets forth our Network Volume for three months ended March 31, 2024 and 2023.</w:t>
      </w:r>
    </w:p>
    <w:p>
      <w:pPr>
        <w:pStyle w:val="TextBody"/>
        <w:bidi w:val="0"/>
        <w:spacing w:before="0" w:after="0"/>
        <w:jc w:val="both"/>
        <w:rPr/>
      </w:pPr>
      <w:r>
        <w:rPr/>
      </w:r>
    </w:p>
    <w:tbl>
      <w:tblPr>
        <w:tblW w:w="6046" w:type="dxa"/>
        <w:jc w:val="left"/>
        <w:tblInd w:w="0" w:type="dxa"/>
        <w:tblLayout w:type="fixed"/>
        <w:tblCellMar>
          <w:top w:w="28" w:type="dxa"/>
          <w:left w:w="28" w:type="dxa"/>
          <w:bottom w:w="28" w:type="dxa"/>
          <w:right w:w="28" w:type="dxa"/>
        </w:tblCellMar>
      </w:tblPr>
      <w:tblGrid>
        <w:gridCol w:w="494"/>
        <w:gridCol w:w="434"/>
        <w:gridCol w:w="436"/>
        <w:gridCol w:w="109"/>
        <w:gridCol w:w="109"/>
        <w:gridCol w:w="109"/>
        <w:gridCol w:w="109"/>
        <w:gridCol w:w="260"/>
        <w:gridCol w:w="260"/>
        <w:gridCol w:w="468"/>
        <w:gridCol w:w="1329"/>
        <w:gridCol w:w="260"/>
        <w:gridCol w:w="109"/>
        <w:gridCol w:w="109"/>
        <w:gridCol w:w="109"/>
        <w:gridCol w:w="196"/>
        <w:gridCol w:w="556"/>
        <w:gridCol w:w="109"/>
        <w:gridCol w:w="109"/>
        <w:gridCol w:w="109"/>
        <w:gridCol w:w="109"/>
        <w:gridCol w:w="154"/>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7"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2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Network Volume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2,419 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Network Volume</w:t>
      </w:r>
    </w:p>
    <w:p>
      <w:pPr>
        <w:pStyle w:val="TextBody"/>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We believe the Network Volume metric to be a suitable proxy for our overall scale and reach, as we generate revenue primarily on the basis of Network Volume. Network Volume is primarily driven by our relationships with our Partners and SFR Partners, and we believe that this has benefited from continuous improvements to our proprietary technology, enabling our network to more effectively identify assets for acquisition by the Financing Vehicles, thereby providing additional investment opportunities to investors. Network Volume is comprised of assets across several asset classes, including personal loans, auto loans, residential real estate, and point of sale receivables.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20" w:after="283"/>
        <w:jc w:val="center"/>
        <w:rPr/>
      </w:pPr>
      <w:r>
        <w:rPr>
          <w:rFonts w:ascii="Times New Roman;sans-serif" w:hAnsi="Times New Roman;sans-serif"/>
          <w:b/>
          <w:color w:val="000000"/>
          <w:sz w:val="18"/>
          <w:shd w:fill="FFFFFF" w:val="clear"/>
        </w:rPr>
        <w:t>Components</w:t>
      </w:r>
      <w:r>
        <w:rPr>
          <w:color w:val="000000"/>
        </w:rPr>
        <w:t xml:space="preserve"> </w:t>
      </w:r>
      <w:r>
        <w:rPr>
          <w:rFonts w:ascii="Times New Roman;sans-serif" w:hAnsi="Times New Roman;sans-serif"/>
          <w:b/>
          <w:color w:val="000000"/>
          <w:sz w:val="18"/>
        </w:rPr>
        <w:t xml:space="preserve">of Results of Operations </w:t>
      </w:r>
    </w:p>
    <w:p>
      <w:pPr>
        <w:pStyle w:val="TextBody"/>
        <w:bidi w:val="0"/>
        <w:spacing w:lineRule="auto" w:line="288" w:before="220" w:after="283"/>
        <w:jc w:val="both"/>
        <w:rPr>
          <w:rFonts w:ascii="Times New Roman;sans-serif" w:hAnsi="Times New Roman;sans-serif"/>
          <w:b/>
          <w:color w:val="000000"/>
          <w:sz w:val="18"/>
        </w:rPr>
      </w:pPr>
      <w:r>
        <w:rPr>
          <w:rFonts w:ascii="Times New Roman;sans-serif" w:hAnsi="Times New Roman;sans-serif"/>
          <w:b/>
          <w:color w:val="000000"/>
          <w:sz w:val="18"/>
        </w:rPr>
        <w:t>Revenue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We generate revenue from network AI fees, contract fees, interest income and investment income. Network AI fees and contract fees are presented together as Revenue from fees in the consolidated financial statements. Revenue from fees is recognized after applying the five-step model consistent with Financial Accounting Standards Board Accounting Standards Codification (“ASC”) 606, “Revenue from Contracts with Consumers” (“ASC 606”). Revenue from fees is inclusive of network AI fees and contract fees.</w:t>
      </w:r>
    </w:p>
    <w:p>
      <w:pPr>
        <w:pStyle w:val="TextBody"/>
        <w:bidi w:val="0"/>
        <w:spacing w:lineRule="auto" w:line="288" w:before="220" w:after="283"/>
        <w:jc w:val="both"/>
        <w:rPr/>
      </w:pPr>
      <w:r>
        <w:rPr>
          <w:rFonts w:ascii="Times New Roman;sans-serif" w:hAnsi="Times New Roman;sans-serif"/>
          <w:b w:val="false"/>
          <w:i/>
          <w:color w:val="000000"/>
          <w:sz w:val="18"/>
        </w:rPr>
        <w:t>Network AI fees.</w:t>
      </w:r>
      <w:r>
        <w:rPr>
          <w:color w:val="000000"/>
        </w:rPr>
        <w:t> </w:t>
      </w:r>
      <w:r>
        <w:rPr>
          <w:rFonts w:ascii="Times New Roman;sans-serif" w:hAnsi="Times New Roman;sans-serif"/>
          <w:b w:val="false"/>
          <w:color w:val="000000"/>
          <w:sz w:val="18"/>
        </w:rPr>
        <w:t>Network AI fees can be further broken down into two fee streams: AI integration fees and capital markets execution fees. We earn AI integration fees for the creation and delivery of the assets that comprise our Network Volume. Multiple funding channels are used to enable the purchase of network assets from our Partners, such as ABS. Capital markets execution fees are earned when a pre-funded, Pagaya-sponsored ABS vehicle is sold by underwriters.</w:t>
      </w:r>
    </w:p>
    <w:p>
      <w:pPr>
        <w:pStyle w:val="TextBody"/>
        <w:bidi w:val="0"/>
        <w:spacing w:lineRule="auto" w:line="288" w:before="160" w:after="283"/>
        <w:jc w:val="both"/>
        <w:rPr/>
      </w:pPr>
      <w:r>
        <w:rPr>
          <w:rFonts w:ascii="Times New Roman;sans-serif" w:hAnsi="Times New Roman;sans-serif"/>
          <w:b w:val="false"/>
          <w:i/>
          <w:color w:val="000000"/>
          <w:sz w:val="18"/>
        </w:rPr>
        <w:t>Contract fees.</w:t>
      </w:r>
      <w:r>
        <w:rPr>
          <w:color w:val="000000"/>
        </w:rPr>
        <w:t> </w:t>
      </w:r>
      <w:r>
        <w:rPr>
          <w:rFonts w:ascii="Times New Roman;sans-serif" w:hAnsi="Times New Roman;sans-serif"/>
          <w:b w:val="false"/>
          <w:color w:val="000000"/>
          <w:sz w:val="18"/>
        </w:rPr>
        <w:t xml:space="preserve">Contract fees primarily include administration and management fees, and performance fees. Administration and management fees are contracted upon the establishment of Financing Vehicles and are earned and collected over their remaining lives. Performance fees are earned when certain Financing Vehicles exceed contractual return hurdles and a significant reversal in the amount of cumulative revenue recognized is not expected to occur. </w:t>
      </w:r>
    </w:p>
    <w:p>
      <w:pPr>
        <w:pStyle w:val="TextBody"/>
        <w:bidi w:val="0"/>
        <w:spacing w:lineRule="auto" w:line="288" w:before="160" w:after="283"/>
        <w:jc w:val="both"/>
        <w:rPr>
          <w:rFonts w:ascii="Times New Roman;sans-serif" w:hAnsi="Times New Roman;sans-serif"/>
          <w:b w:val="false"/>
          <w:color w:val="000000"/>
          <w:sz w:val="18"/>
        </w:rPr>
      </w:pPr>
      <w:r>
        <w:rPr>
          <w:rFonts w:ascii="Times New Roman;sans-serif" w:hAnsi="Times New Roman;sans-serif"/>
          <w:b w:val="false"/>
          <w:color w:val="000000"/>
          <w:sz w:val="18"/>
        </w:rPr>
        <w:t>We also earn interest income from our risk retention holdings and cash balances and investment income associated with our ownership interests in certain Financing Vehicles and other proprietary investments.</w:t>
      </w:r>
    </w:p>
    <w:p>
      <w:pPr>
        <w:pStyle w:val="TextBody"/>
        <w:bidi w:val="0"/>
        <w:spacing w:lineRule="auto" w:line="288" w:before="220" w:after="283"/>
        <w:jc w:val="both"/>
        <w:rPr/>
      </w:pPr>
      <w:r>
        <w:rPr>
          <w:rFonts w:ascii="Times New Roman;sans-serif" w:hAnsi="Times New Roman;sans-serif"/>
          <w:b/>
          <w:color w:val="000000"/>
          <w:sz w:val="18"/>
        </w:rPr>
        <w:t>Costs and Operating Expenses</w:t>
      </w:r>
      <w:r>
        <w:rPr>
          <w:color w:val="000000"/>
        </w:rPr>
        <w:t xml:space="preserve"> </w:t>
      </w:r>
    </w:p>
    <w:p>
      <w:pPr>
        <w:pStyle w:val="TextBody"/>
        <w:bidi w:val="0"/>
        <w:spacing w:lineRule="auto" w:line="288" w:before="220" w:after="283"/>
        <w:jc w:val="both"/>
        <w:rPr/>
      </w:pPr>
      <w:r>
        <w:rPr>
          <w:rFonts w:ascii="Times New Roman;sans-serif" w:hAnsi="Times New Roman;sans-serif"/>
          <w:b w:val="false"/>
          <w:color w:val="000000"/>
          <w:sz w:val="18"/>
        </w:rPr>
        <w:t>Costs and operating expenses consist of Production Costs, technology, data and product development expenses, sales and marketing expenses, and general and administrative expenses. Salaries and personnel-related costs, including benefits, b</w:t>
      </w:r>
      <w:r>
        <w:rPr>
          <w:rFonts w:ascii="Times New Roman;sans-serif" w:hAnsi="Times New Roman;sans-serif"/>
          <w:b w:val="false"/>
          <w:color w:val="000000"/>
          <w:sz w:val="18"/>
          <w:shd w:fill="FFFFFF" w:val="clear"/>
        </w:rPr>
        <w:t xml:space="preserve">onuses, share-based compensation, and outsourcing comprise a significant component of several of these expense categories. A portion of our non-share-based compensation expense and, to a lesser extent, certain operating expenses (excluding Production Costs)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5"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1ae226876884df5aa3fa0a01a318c5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220" w:after="283"/>
        <w:jc w:val="both"/>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 xml:space="preserve">denominated in the new Israeli shekel (“NIS”), which could result in variability in our operating expenses which are presented in U.S. Dollars. </w:t>
      </w:r>
    </w:p>
    <w:p>
      <w:pPr>
        <w:pStyle w:val="TextBody"/>
        <w:bidi w:val="0"/>
        <w:spacing w:lineRule="auto" w:line="288" w:before="220" w:after="283"/>
        <w:jc w:val="both"/>
        <w:rPr>
          <w:rFonts w:ascii="Times New Roman;sans-serif" w:hAnsi="Times New Roman;sans-serif"/>
          <w:b/>
          <w:color w:val="000000"/>
          <w:sz w:val="18"/>
        </w:rPr>
      </w:pPr>
      <w:r>
        <w:rPr>
          <w:rFonts w:ascii="Times New Roman;sans-serif" w:hAnsi="Times New Roman;sans-serif"/>
          <w:b/>
          <w:color w:val="000000"/>
          <w:sz w:val="18"/>
        </w:rPr>
        <w:t>Production Costs</w:t>
      </w:r>
    </w:p>
    <w:p>
      <w:pPr>
        <w:pStyle w:val="TextBody"/>
        <w:bidi w:val="0"/>
        <w:spacing w:lineRule="auto" w:line="288" w:before="220" w:after="283"/>
        <w:jc w:val="both"/>
        <w:rPr/>
      </w:pPr>
      <w:r>
        <w:rPr>
          <w:rFonts w:ascii="Times New Roman;sans-serif" w:hAnsi="Times New Roman;sans-serif"/>
          <w:b w:val="false"/>
          <w:color w:val="000000"/>
          <w:sz w:val="18"/>
        </w:rPr>
        <w:t>Production Costs are primarily comprised of expenses incurred when Network Volume is transferred from Partners into Financing Vehicles, as our Partners are responsible for marketing and customer interaction and facilitating the flow of additional application flow. Accordingly, the amount and growth of our Production Costs are highly correlated to Netwo</w:t>
      </w:r>
      <w:r>
        <w:rPr>
          <w:rFonts w:ascii="Times New Roman;sans-serif" w:hAnsi="Times New Roman;sans-serif"/>
          <w:b w:val="false"/>
          <w:color w:val="000000"/>
          <w:sz w:val="18"/>
          <w:shd w:fill="FFFFFF" w:val="clear"/>
        </w:rPr>
        <w:t xml:space="preserve">rk Volume. Additionally, but to a lesser extent, Production Costs also include expenses incurred to renovate single-family rental properties.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Technology, Data and Product Development</w:t>
      </w:r>
    </w:p>
    <w:p>
      <w:pPr>
        <w:pStyle w:val="TextBody"/>
        <w:bidi w:val="0"/>
        <w:spacing w:lineRule="auto" w:line="288" w:before="220" w:after="283"/>
        <w:jc w:val="both"/>
        <w:rPr/>
      </w:pPr>
      <w:r>
        <w:rPr>
          <w:rFonts w:ascii="Times New Roman;sans-serif" w:hAnsi="Times New Roman;sans-serif"/>
          <w:b w:val="false"/>
          <w:color w:val="000000"/>
          <w:sz w:val="18"/>
        </w:rPr>
        <w:t>Technology, data and product development expenses primarily comprise costs associated with the maintenance and ongoing development of our network and AI technology, including</w:t>
      </w:r>
      <w:r>
        <w:rPr>
          <w:color w:val="000000"/>
          <w:shd w:fill="FFFFFF" w:val="clear"/>
        </w:rPr>
        <w:t xml:space="preserve"> </w:t>
      </w:r>
      <w:r>
        <w:rPr>
          <w:rFonts w:ascii="Times New Roman;sans-serif" w:hAnsi="Times New Roman;sans-serif"/>
          <w:b w:val="false"/>
          <w:color w:val="000000"/>
          <w:sz w:val="18"/>
          <w:shd w:fill="FFFFFF" w:val="clear"/>
        </w:rPr>
        <w:t>pers</w:t>
      </w:r>
      <w:r>
        <w:rPr>
          <w:rFonts w:ascii="Times New Roman;sans-serif" w:hAnsi="Times New Roman;sans-serif"/>
          <w:b w:val="false"/>
          <w:color w:val="000000"/>
          <w:sz w:val="18"/>
        </w:rPr>
        <w:t xml:space="preserve">onnel, allocated costs, and other development-related expenses. Technology, data and product development costs, net of amounts capitalized in accordance with U.S. GAAP, are expensed as incurred. The capitalized internal-use software is amortized on a straight-line method over the estimated useful life in technology, data and product development costs. We have invested and believe continued investments in technology, data and product development are important to achieving our strategic objectives. </w:t>
      </w:r>
    </w:p>
    <w:p>
      <w:pPr>
        <w:pStyle w:val="TextBody"/>
        <w:bidi w:val="0"/>
        <w:spacing w:lineRule="auto" w:line="288" w:before="220" w:after="283"/>
        <w:jc w:val="both"/>
        <w:rPr>
          <w:rFonts w:ascii="Times New Roman;sans-serif" w:hAnsi="Times New Roman;sans-serif"/>
          <w:b/>
          <w:color w:val="000000"/>
          <w:sz w:val="18"/>
          <w:shd w:fill="FFFFFF" w:val="clear"/>
        </w:rPr>
      </w:pPr>
      <w:r>
        <w:rPr>
          <w:rFonts w:ascii="Times New Roman;sans-serif" w:hAnsi="Times New Roman;sans-serif"/>
          <w:b/>
          <w:color w:val="000000"/>
          <w:sz w:val="18"/>
          <w:shd w:fill="FFFFFF" w:val="clear"/>
        </w:rPr>
        <w:t>Sales and Marketing</w:t>
      </w:r>
    </w:p>
    <w:p>
      <w:pPr>
        <w:pStyle w:val="TextBody"/>
        <w:bidi w:val="0"/>
        <w:spacing w:lineRule="auto" w:line="288" w:before="220" w:after="283"/>
        <w:jc w:val="both"/>
        <w:rPr/>
      </w:pPr>
      <w:r>
        <w:rPr>
          <w:rFonts w:ascii="Times New Roman;sans-serif" w:hAnsi="Times New Roman;sans-serif"/>
          <w:b w:val="false"/>
          <w:color w:val="000000"/>
          <w:sz w:val="18"/>
          <w:shd w:fill="FFFFFF" w:val="clear"/>
        </w:rPr>
        <w:t>Sales and marketing expenses, related to Partner onboarding, development, and relationship management, as well as capital markets investor engagement and marketing, are comprised primarily of salaries and personnel-related costs, as well as the costs of certain professional services, and allocated overhead. Sales and marketing expenses are expensed as incurred. Sales and marketing expenses in absolute dollars may fluctua</w:t>
      </w:r>
      <w:r>
        <w:rPr>
          <w:rFonts w:ascii="Times New Roman;sans-serif" w:hAnsi="Times New Roman;sans-serif"/>
          <w:b w:val="false"/>
          <w:color w:val="000000"/>
          <w:sz w:val="18"/>
        </w:rPr>
        <w:t xml:space="preserve">te from period to period based on the timing of our investments in our sales and marketing functions. These investments may vary in scope and scale over future periods depending on our pipeline of new Partners and strategic investors. </w:t>
      </w:r>
    </w:p>
    <w:p>
      <w:pPr>
        <w:pStyle w:val="TextBody"/>
        <w:bidi w:val="0"/>
        <w:spacing w:lineRule="auto" w:line="288" w:before="220" w:after="283"/>
        <w:jc w:val="both"/>
        <w:rPr>
          <w:rFonts w:ascii="Times New Roman;sans-serif" w:hAnsi="Times New Roman;sans-serif"/>
          <w:b/>
          <w:color w:val="000000"/>
          <w:sz w:val="18"/>
        </w:rPr>
      </w:pPr>
      <w:r>
        <w:rPr>
          <w:rFonts w:ascii="Times New Roman;sans-serif" w:hAnsi="Times New Roman;sans-serif"/>
          <w:b/>
          <w:color w:val="000000"/>
          <w:sz w:val="18"/>
        </w:rPr>
        <w:t xml:space="preserve">General and Administrative </w:t>
      </w:r>
    </w:p>
    <w:p>
      <w:pPr>
        <w:pStyle w:val="TextBody"/>
        <w:bidi w:val="0"/>
        <w:spacing w:lineRule="auto" w:line="288" w:before="220" w:after="283"/>
        <w:jc w:val="both"/>
        <w:rPr/>
      </w:pPr>
      <w:r>
        <w:rPr>
          <w:rFonts w:ascii="Times New Roman;sans-serif" w:hAnsi="Times New Roman;sans-serif"/>
          <w:b w:val="false"/>
          <w:color w:val="000000"/>
          <w:sz w:val="18"/>
        </w:rPr>
        <w:t xml:space="preserve">General and administrative expenses primarily comprise personnel-related costs for our executives, finance, legal and other administrative functions, insurance costs, professional fees for external legal, accounting and other professional services and allocated overhead </w:t>
      </w:r>
      <w:r>
        <w:rPr>
          <w:rFonts w:ascii="Times New Roman;sans-serif" w:hAnsi="Times New Roman;sans-serif"/>
          <w:b w:val="false"/>
          <w:color w:val="000000"/>
          <w:sz w:val="18"/>
          <w:shd w:fill="FFFFFF" w:val="clear"/>
        </w:rPr>
        <w:t xml:space="preserve">costs. General and administrative expenses are expensed as incurred. </w:t>
      </w:r>
    </w:p>
    <w:p>
      <w:pPr>
        <w:pStyle w:val="TextBody"/>
        <w:bidi w:val="0"/>
        <w:spacing w:lineRule="auto" w:line="288" w:before="220" w:after="283"/>
        <w:jc w:val="both"/>
        <w:rPr>
          <w:rFonts w:ascii="Times New Roman;sans-serif" w:hAnsi="Times New Roman;sans-serif"/>
          <w:b/>
          <w:color w:val="000000"/>
          <w:sz w:val="18"/>
        </w:rPr>
      </w:pPr>
      <w:r>
        <w:rPr>
          <w:rFonts w:ascii="Times New Roman;sans-serif" w:hAnsi="Times New Roman;sans-serif"/>
          <w:b/>
          <w:color w:val="000000"/>
          <w:sz w:val="18"/>
        </w:rPr>
        <w:t>Other Income (expense), net</w:t>
      </w:r>
    </w:p>
    <w:p>
      <w:pPr>
        <w:pStyle w:val="TextBody"/>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Other Income (expense), net primarily consists of changes in the fair value of warrant liabilities and other items, including credit-related impairment losses on investments in loans and securities. </w:t>
      </w:r>
    </w:p>
    <w:p>
      <w:pPr>
        <w:pStyle w:val="TextBody"/>
        <w:bidi w:val="0"/>
        <w:spacing w:lineRule="auto" w:line="288" w:before="220" w:after="283"/>
        <w:jc w:val="both"/>
        <w:rPr/>
      </w:pPr>
      <w:r>
        <w:rPr>
          <w:rFonts w:ascii="Times New Roman;sans-serif" w:hAnsi="Times New Roman;sans-serif"/>
          <w:b/>
          <w:color w:val="000000"/>
          <w:sz w:val="18"/>
        </w:rPr>
        <w:t>Income Tax Expense</w:t>
      </w:r>
      <w:r>
        <w:rPr>
          <w:color w:val="000000"/>
        </w:rPr>
        <w:t xml:space="preserve"> </w:t>
      </w:r>
    </w:p>
    <w:p>
      <w:pPr>
        <w:pStyle w:val="TextBody"/>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We account for taxes on income in accordance with ASC 740, “Income Taxes” (“ASC 740”). We are eligible for certain tax benefits in Israel under the Law for the Encouragement of Capital Investments or the Investment Law at a reduced tax rate of 12%. Accordingly, as we generate taxable income in Israel, our effective tax rate is expected to be lower than the standard corporate tax rate for Israeli companies, which is 23%. Our taxable income generated in the United States or derived from other sources in Israel which is not eligible for tax benefits will be subject to the regular corporate tax rate in their respective tax jurisdictions. </w:t>
      </w:r>
    </w:p>
    <w:p>
      <w:pPr>
        <w:pStyle w:val="TextBody"/>
        <w:bidi w:val="0"/>
        <w:spacing w:lineRule="auto" w:line="288" w:before="220" w:after="283"/>
        <w:jc w:val="both"/>
        <w:rPr>
          <w:rFonts w:ascii="Times New Roman;sans-serif" w:hAnsi="Times New Roman;sans-serif"/>
          <w:b/>
          <w:color w:val="000000"/>
          <w:sz w:val="18"/>
        </w:rPr>
      </w:pPr>
      <w:r>
        <w:rPr>
          <w:rFonts w:ascii="Times New Roman;sans-serif" w:hAnsi="Times New Roman;sans-serif"/>
          <w:b/>
          <w:color w:val="000000"/>
          <w:sz w:val="18"/>
        </w:rPr>
        <w:t>Net Income Attributable to Noncontrolling Interests</w:t>
      </w:r>
    </w:p>
    <w:p>
      <w:pPr>
        <w:pStyle w:val="TextBody"/>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noncontrolling interests in our consolidated statements of operations is a result of our investments in certain of our consolidated variable interest entities (‘‘VIEs’’) and consists of the portion of the net income of these consolidated entities that is not attributable to us.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bidi w:val="0"/>
        <w:spacing w:lineRule="auto" w:line="288" w:before="2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following table sets forth operating results for the periods indicated (in thousands, except share and per share data):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6"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1ae226876884df5aa3fa0a01a318c55_7">
        <w:r>
          <w:rPr>
            <w:rStyle w:val="InternetLink"/>
            <w:rFonts w:ascii="Times New Roman;sans-serif" w:hAnsi="Times New Roman;sans-serif"/>
            <w:b w:val="false"/>
            <w:color w:val="0000FF"/>
            <w:sz w:val="18"/>
            <w:u w:val="single"/>
          </w:rPr>
          <w:t>Table of Contents</w:t>
        </w:r>
      </w:hyperlink>
    </w:p>
    <w:p>
      <w:pPr>
        <w:pStyle w:val="TextBody"/>
        <w:bidi w:val="0"/>
        <w:spacing w:before="0" w:after="0"/>
        <w:jc w:val="left"/>
        <w:rPr/>
      </w:pPr>
      <w:r>
        <w:rPr/>
      </w:r>
    </w:p>
    <w:tbl>
      <w:tblPr>
        <w:tblW w:w="7788" w:type="dxa"/>
        <w:jc w:val="left"/>
        <w:tblInd w:w="0" w:type="dxa"/>
        <w:tblLayout w:type="fixed"/>
        <w:tblCellMar>
          <w:top w:w="28" w:type="dxa"/>
          <w:left w:w="28" w:type="dxa"/>
          <w:bottom w:w="28" w:type="dxa"/>
          <w:right w:w="28" w:type="dxa"/>
        </w:tblCellMar>
      </w:tblPr>
      <w:tblGrid>
        <w:gridCol w:w="1635"/>
        <w:gridCol w:w="1434"/>
        <w:gridCol w:w="1446"/>
        <w:gridCol w:w="209"/>
        <w:gridCol w:w="788"/>
        <w:gridCol w:w="116"/>
        <w:gridCol w:w="116"/>
        <w:gridCol w:w="116"/>
        <w:gridCol w:w="116"/>
        <w:gridCol w:w="209"/>
        <w:gridCol w:w="788"/>
        <w:gridCol w:w="116"/>
        <w:gridCol w:w="109"/>
        <w:gridCol w:w="109"/>
        <w:gridCol w:w="109"/>
        <w:gridCol w:w="109"/>
        <w:gridCol w:w="109"/>
        <w:gridCol w:w="154"/>
      </w:tblGrid>
      <w:tr>
        <w:trPr/>
        <w:tc>
          <w:tcPr>
            <w:tcW w:w="1635"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w:t>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 from fees</w:t>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237,004 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175,254 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Other Income</w:t>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10,397 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income (loss)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Revenue and Other Income</w:t>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245,276 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186,638 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Production costs</w:t>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144,881 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125,057 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Technology, data and product development (1)</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19,380 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21,131 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 (1)</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(1)</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63,068 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51,126 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Costs and Operating Expenses</w:t>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237,586 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211,614 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Operating Loss</w:t>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(24,976)</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net</w:t>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(34,349)</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(66,980)</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Loss Before Income Taxes</w:t>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(26,659)</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(91,956)</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Net Loss </w:t>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(31,662)</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(98,623)</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(loss) attributable to noncontrolling interests</w:t>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(10,439)</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(37,652)</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Net Loss Attributable to Pagaya Technologies Ltd.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(21,223)</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(60,971)</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Per share data:</w:t>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Net loss per share:</w:t>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 (2)</w:t>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Non-GAAP adjusted net income (loss) (3)</w:t>
            </w:r>
          </w:p>
        </w:tc>
        <w:tc>
          <w:tcPr>
            <w:tcW w:w="20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13,331 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(11,015)</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Non-GAAP adjusted net income (loss) per share (3):</w:t>
            </w:r>
          </w:p>
        </w:tc>
        <w:tc>
          <w:tcPr>
            <w:tcW w:w="11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(2)</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(2)</w:t>
            </w:r>
          </w:p>
        </w:tc>
        <w:tc>
          <w:tcPr>
            <w:tcW w:w="20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0.20 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(0.19)</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 average shares outstanding:</w:t>
            </w:r>
          </w:p>
        </w:tc>
        <w:tc>
          <w:tcPr>
            <w:tcW w:w="11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 (2)</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64,504,458 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59,255,864 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Weighted average shares outstanding (Non-GAAP):</w:t>
            </w:r>
          </w:p>
        </w:tc>
        <w:tc>
          <w:tcPr>
            <w:tcW w:w="11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(2)</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64,504,458 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59,255,864 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(2)</w:t>
            </w:r>
          </w:p>
        </w:tc>
        <w:tc>
          <w:tcPr>
            <w:tcW w:w="99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65,890,518 </w:t>
            </w:r>
          </w:p>
        </w:tc>
        <w:tc>
          <w:tcPr>
            <w:tcW w:w="1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59,972,806 </w:t>
            </w:r>
          </w:p>
        </w:tc>
        <w:tc>
          <w:tcPr>
            <w:tcW w:w="1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 The following table sets forth share-based compensation for the periods indicated below (in thousands):</w:t>
      </w:r>
    </w:p>
    <w:p>
      <w:pPr>
        <w:pStyle w:val="TextBody"/>
        <w:bidi w:val="0"/>
        <w:spacing w:before="0" w:after="0"/>
        <w:jc w:val="left"/>
        <w:rPr/>
      </w:pPr>
      <w:r>
        <w:rPr/>
      </w:r>
    </w:p>
    <w:tbl>
      <w:tblPr>
        <w:tblW w:w="7236" w:type="dxa"/>
        <w:jc w:val="left"/>
        <w:tblInd w:w="0" w:type="dxa"/>
        <w:tblLayout w:type="fixed"/>
        <w:tblCellMar>
          <w:top w:w="28" w:type="dxa"/>
          <w:left w:w="28" w:type="dxa"/>
          <w:bottom w:w="28" w:type="dxa"/>
          <w:right w:w="28" w:type="dxa"/>
        </w:tblCellMar>
      </w:tblPr>
      <w:tblGrid>
        <w:gridCol w:w="1435"/>
        <w:gridCol w:w="1260"/>
        <w:gridCol w:w="1264"/>
        <w:gridCol w:w="226"/>
        <w:gridCol w:w="748"/>
        <w:gridCol w:w="126"/>
        <w:gridCol w:w="126"/>
        <w:gridCol w:w="126"/>
        <w:gridCol w:w="126"/>
        <w:gridCol w:w="226"/>
        <w:gridCol w:w="748"/>
        <w:gridCol w:w="126"/>
        <w:gridCol w:w="109"/>
        <w:gridCol w:w="109"/>
        <w:gridCol w:w="109"/>
        <w:gridCol w:w="109"/>
        <w:gridCol w:w="109"/>
        <w:gridCol w:w="154"/>
      </w:tblGrid>
      <w:tr>
        <w:trPr/>
        <w:tc>
          <w:tcPr>
            <w:tcW w:w="143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 data and product development</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2,905</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9,718 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share-based compensation in operating expenses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15,475 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16,367 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(2) Share amounts have been retroactively adjusted to reflect the 1-for-12 reverse share split effected on March 8, 2024.</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18"/>
          <w:shd w:fill="FFFFFF" w:val="clear"/>
        </w:rPr>
        <w:t>(3) See “—Reconciliation of Non-GAAP Financial Measures”</w:t>
      </w:r>
      <w:r>
        <w:rPr>
          <w:color w:val="000000"/>
        </w:rPr>
        <w:t xml:space="preserve"> </w:t>
      </w:r>
      <w:r>
        <w:rPr>
          <w:rFonts w:ascii="Times New Roman;sans-serif" w:hAnsi="Times New Roman;sans-serif"/>
          <w:b w:val="false"/>
          <w:color w:val="000000"/>
          <w:sz w:val="18"/>
          <w:shd w:fill="FFFFFF" w:val="clear"/>
        </w:rPr>
        <w:t>fo</w:t>
      </w:r>
      <w:r>
        <w:rPr>
          <w:rFonts w:ascii="Times New Roman;sans-serif" w:hAnsi="Times New Roman;sans-serif"/>
          <w:b w:val="false"/>
          <w:color w:val="000000"/>
          <w:sz w:val="18"/>
        </w:rPr>
        <w:t xml:space="preserve">r a reconciliation of this and Adjusted EBITDA.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83"/>
        <w:jc w:val="both"/>
        <w:rPr>
          <w:rFonts w:ascii="Times New Roman;sans-serif" w:hAnsi="Times New Roman;sans-serif"/>
          <w:b/>
          <w:color w:val="000000"/>
          <w:sz w:val="18"/>
        </w:rPr>
      </w:pPr>
      <w:r>
        <w:rPr>
          <w:rFonts w:ascii="Times New Roman;sans-serif" w:hAnsi="Times New Roman;sans-serif"/>
          <w:b/>
          <w:color w:val="000000"/>
          <w:sz w:val="18"/>
        </w:rPr>
        <w:t>Comparison of Three Months Ended March 31, 2024 and 2023</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18"/>
        </w:rPr>
        <w:t>Total Revenue and Other Income</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7"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1ae226876884df5aa3fa0a01a318c55_7">
        <w:r>
          <w:rPr>
            <w:rStyle w:val="InternetLink"/>
            <w:rFonts w:ascii="Times New Roman;sans-serif" w:hAnsi="Times New Roman;sans-serif"/>
            <w:b w:val="false"/>
            <w:color w:val="0000FF"/>
            <w:sz w:val="18"/>
            <w:u w:val="single"/>
          </w:rPr>
          <w:t>Table of Contents</w:t>
        </w:r>
      </w:hyperlink>
    </w:p>
    <w:tbl>
      <w:tblPr>
        <w:tblW w:w="7614" w:type="dxa"/>
        <w:jc w:val="left"/>
        <w:tblInd w:w="0" w:type="dxa"/>
        <w:tblLayout w:type="fixed"/>
        <w:tblCellMar>
          <w:top w:w="28" w:type="dxa"/>
          <w:left w:w="28" w:type="dxa"/>
          <w:bottom w:w="28" w:type="dxa"/>
          <w:right w:w="28" w:type="dxa"/>
        </w:tblCellMar>
      </w:tblPr>
      <w:tblGrid>
        <w:gridCol w:w="890"/>
        <w:gridCol w:w="781"/>
        <w:gridCol w:w="788"/>
        <w:gridCol w:w="209"/>
        <w:gridCol w:w="788"/>
        <w:gridCol w:w="116"/>
        <w:gridCol w:w="116"/>
        <w:gridCol w:w="116"/>
        <w:gridCol w:w="116"/>
        <w:gridCol w:w="209"/>
        <w:gridCol w:w="788"/>
        <w:gridCol w:w="116"/>
        <w:gridCol w:w="109"/>
        <w:gridCol w:w="109"/>
        <w:gridCol w:w="109"/>
        <w:gridCol w:w="196"/>
        <w:gridCol w:w="646"/>
        <w:gridCol w:w="109"/>
        <w:gridCol w:w="109"/>
        <w:gridCol w:w="109"/>
        <w:gridCol w:w="109"/>
        <w:gridCol w:w="204"/>
        <w:gridCol w:w="204"/>
        <w:gridCol w:w="568"/>
      </w:tblGrid>
      <w:tr>
        <w:trPr/>
        <w:tc>
          <w:tcPr>
            <w:tcW w:w="89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333333"/>
                <w:sz w:val="18"/>
              </w:rPr>
            </w:pPr>
            <w:r>
              <w:rPr>
                <w:rFonts w:ascii="Times New Roman;sans-serif" w:hAnsi="Times New Roman;sans-serif"/>
                <w:b/>
                <w:color w:val="333333"/>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43" w:after="30"/>
              <w:jc w:val="right"/>
              <w:rPr>
                <w:rFonts w:ascii="Times New Roman;sans-serif" w:hAnsi="Times New Roman;sans-serif"/>
                <w:b/>
                <w:color w:val="000000"/>
                <w:sz w:val="18"/>
              </w:rPr>
            </w:pPr>
            <w:r>
              <w:rPr>
                <w:rFonts w:ascii="Times New Roman;sans-serif" w:hAnsi="Times New Roman;sans-serif"/>
                <w:b/>
                <w:color w:val="000000"/>
                <w:sz w:val="18"/>
              </w:rPr>
              <w:t>(in thousands, except percentages)</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 from fees</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237,004 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175,254 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10,397 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income</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 and Other Income</w:t>
            </w:r>
          </w:p>
        </w:tc>
        <w:tc>
          <w:tcPr>
            <w:tcW w:w="2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245,276 </w:t>
            </w:r>
          </w:p>
        </w:tc>
        <w:tc>
          <w:tcPr>
            <w:tcW w:w="1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186,638 </w:t>
            </w:r>
          </w:p>
        </w:tc>
        <w:tc>
          <w:tcPr>
            <w:tcW w:w="1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58,638 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56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Total revenue and other income, increased by $58.6 million, or 31%, to $245.3 million for the three months ended March 31, 2024 from $186.6 million for the three months ended March 31, 2023. The increase was primarily driven by an increase in revenue from fees, partially offset by decreases in interest income and investment income. </w:t>
      </w:r>
    </w:p>
    <w:p>
      <w:pPr>
        <w:pStyle w:val="TextBody"/>
        <w:bidi w:val="0"/>
        <w:spacing w:lineRule="auto" w:line="26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Revenue from fees for the three months ended March 31, 2024 increased by $61.8 million, or 35%, to $237.0 million, compared to the same period in 2023. The increase was primarily due to a $65.1 million increase in Network AI fees, comprised of AI integration fees and capital markets execution fees, from $150.2 million for the three months ended March 31, 2023 to $215.3 million for the three months ended March 31, 2024. The increase in Network AI fees was primarily driven by improved economics in AI integration fees earned from certain Partners, as well as the growth in Network Volume, which increased by 31% from $1.9 billion for the three months ended March 31, 2023 to $2.4 billion for the three months ended March 31, 2024. Also contributing to the increase was an increase in capital markets execution fees earned from our ABS transactions reflecting an increase in ABS transactions during the three months ended March 31, 2024.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Contract fees, comprised of administration and management fees and performance fees, decreased by $3.4 million from $25.1 million for the three months ended March 31, 2023 to $21.7 million for the three months ended March 31, 2024, reflecting a decline in net asset values of the assets held by certain Financing Vehicles primarily driven by an increase in redemptions in such vehicles. </w:t>
      </w:r>
    </w:p>
    <w:p>
      <w:pPr>
        <w:pStyle w:val="TextBody"/>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Interest income decreased by $2.7 million, or 26%, to $7.7 million for the three months ended March 31, 2024 from $10.4 million for the three months ended March 31, 2023. The decrease in interest income was directly related to our risk retention holdings and related securities held in our consolidated VIEs as well as certain risk retention holdings held directly by our consolidated subsidiaries. For further information, see “—Net Income (Loss) Attributable to Noncontrolling Interests.” The decrease in interest income was primarily the result of changes in structure and composition of the investments in loans and securities portfolio, partially offset by higher interest income on our cash balances. </w:t>
      </w:r>
    </w:p>
    <w:p>
      <w:pPr>
        <w:pStyle w:val="TextBody"/>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Investment income decreased by $0.5 million to $0.5 million for the three months ended March 31, 2024 from $1.0 million for three months ended March 31, 2023, reflecting a less favorable impact from the change in valuation of certain proprietary investments.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18"/>
        </w:rPr>
        <w:t>Costs and Operating Expenses</w:t>
      </w:r>
      <w:r>
        <w:rPr>
          <w:color w:val="000000"/>
        </w:rPr>
        <w:t xml:space="preserve"> </w:t>
      </w:r>
    </w:p>
    <w:tbl>
      <w:tblPr>
        <w:tblW w:w="5785" w:type="dxa"/>
        <w:jc w:val="left"/>
        <w:tblInd w:w="0" w:type="dxa"/>
        <w:tblLayout w:type="fixed"/>
        <w:tblCellMar>
          <w:top w:w="28" w:type="dxa"/>
          <w:left w:w="28" w:type="dxa"/>
          <w:bottom w:w="28" w:type="dxa"/>
          <w:right w:w="28" w:type="dxa"/>
        </w:tblCellMar>
      </w:tblPr>
      <w:tblGrid>
        <w:gridCol w:w="1145"/>
        <w:gridCol w:w="1009"/>
        <w:gridCol w:w="1011"/>
        <w:gridCol w:w="209"/>
        <w:gridCol w:w="787"/>
        <w:gridCol w:w="116"/>
        <w:gridCol w:w="116"/>
        <w:gridCol w:w="116"/>
        <w:gridCol w:w="116"/>
        <w:gridCol w:w="209"/>
        <w:gridCol w:w="787"/>
        <w:gridCol w:w="164"/>
      </w:tblGrid>
      <w:tr>
        <w:trPr/>
        <w:tc>
          <w:tcPr>
            <w:tcW w:w="1145"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333333"/>
                <w:sz w:val="18"/>
              </w:rPr>
            </w:pPr>
            <w:r>
              <w:rPr>
                <w:rFonts w:ascii="Times New Roman;sans-serif" w:hAnsi="Times New Roman;sans-serif"/>
                <w:b/>
                <w:color w:val="333333"/>
                <w:sz w:val="18"/>
              </w:rPr>
              <w:t>Three Months Ended March 31,</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Production costs</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144,881 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125,057 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 data and product development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19,380 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21,131 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63,068 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51,126 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Costs and Operating Expenses</w:t>
            </w:r>
          </w:p>
        </w:tc>
        <w:tc>
          <w:tcPr>
            <w:tcW w:w="2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237,586 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211,614 </w:t>
            </w:r>
          </w:p>
        </w:tc>
        <w:tc>
          <w:tcPr>
            <w:tcW w:w="1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Production Costs</w:t>
      </w:r>
    </w:p>
    <w:tbl>
      <w:tblPr>
        <w:tblW w:w="6460" w:type="dxa"/>
        <w:jc w:val="left"/>
        <w:tblInd w:w="0" w:type="dxa"/>
        <w:tblLayout w:type="fixed"/>
        <w:tblCellMar>
          <w:top w:w="28" w:type="dxa"/>
          <w:left w:w="28" w:type="dxa"/>
          <w:bottom w:w="28" w:type="dxa"/>
          <w:right w:w="28" w:type="dxa"/>
        </w:tblCellMar>
      </w:tblPr>
      <w:tblGrid>
        <w:gridCol w:w="472"/>
        <w:gridCol w:w="416"/>
        <w:gridCol w:w="417"/>
        <w:gridCol w:w="209"/>
        <w:gridCol w:w="788"/>
        <w:gridCol w:w="116"/>
        <w:gridCol w:w="116"/>
        <w:gridCol w:w="116"/>
        <w:gridCol w:w="116"/>
        <w:gridCol w:w="209"/>
        <w:gridCol w:w="788"/>
        <w:gridCol w:w="116"/>
        <w:gridCol w:w="109"/>
        <w:gridCol w:w="109"/>
        <w:gridCol w:w="109"/>
        <w:gridCol w:w="196"/>
        <w:gridCol w:w="646"/>
        <w:gridCol w:w="109"/>
        <w:gridCol w:w="109"/>
        <w:gridCol w:w="109"/>
        <w:gridCol w:w="109"/>
        <w:gridCol w:w="204"/>
        <w:gridCol w:w="204"/>
        <w:gridCol w:w="568"/>
      </w:tblGrid>
      <w:tr>
        <w:trPr/>
        <w:tc>
          <w:tcPr>
            <w:tcW w:w="47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333333"/>
                <w:sz w:val="18"/>
              </w:rPr>
            </w:pPr>
            <w:r>
              <w:rPr>
                <w:rFonts w:ascii="Times New Roman;sans-serif" w:hAnsi="Times New Roman;sans-serif"/>
                <w:b/>
                <w:color w:val="333333"/>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43" w:after="30"/>
              <w:jc w:val="center"/>
              <w:rPr>
                <w:rFonts w:ascii="Times New Roman;sans-serif" w:hAnsi="Times New Roman;sans-serif"/>
                <w:b/>
                <w:color w:val="000000"/>
                <w:sz w:val="18"/>
              </w:rPr>
            </w:pPr>
            <w:r>
              <w:rPr>
                <w:rFonts w:ascii="Times New Roman;sans-serif" w:hAnsi="Times New Roman;sans-serif"/>
                <w:b/>
                <w:color w:val="000000"/>
                <w:sz w:val="18"/>
              </w:rPr>
              <w:t>(in thousands, except percentages)</w:t>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Production costs</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144,881 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125,057 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0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Production costs increased by $19.8 million, or 16%, to $144.9 million for the three months ended March 31, 2024 from $125.1 million for the three months ended March 31, 2023. This increase was predominantly due to increases in Network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8"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1ae226876884df5aa3fa0a01a318c5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Volume and to a lesser extent the composition of the asset classes that make up our Network Volume, as well as new Partners onboarded to our network.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Technology, Data and Product Development</w:t>
      </w:r>
    </w:p>
    <w:p>
      <w:pPr>
        <w:pStyle w:val="TextBody"/>
        <w:bidi w:val="0"/>
        <w:spacing w:before="0" w:after="0"/>
        <w:jc w:val="left"/>
        <w:rPr/>
      </w:pPr>
      <w:r>
        <w:rPr/>
      </w:r>
    </w:p>
    <w:tbl>
      <w:tblPr>
        <w:tblW w:w="8308" w:type="dxa"/>
        <w:jc w:val="left"/>
        <w:tblInd w:w="0" w:type="dxa"/>
        <w:tblLayout w:type="fixed"/>
        <w:tblCellMar>
          <w:top w:w="28" w:type="dxa"/>
          <w:left w:w="28" w:type="dxa"/>
          <w:bottom w:w="28" w:type="dxa"/>
          <w:right w:w="28" w:type="dxa"/>
        </w:tblCellMar>
      </w:tblPr>
      <w:tblGrid>
        <w:gridCol w:w="1147"/>
        <w:gridCol w:w="1007"/>
        <w:gridCol w:w="1010"/>
        <w:gridCol w:w="226"/>
        <w:gridCol w:w="748"/>
        <w:gridCol w:w="126"/>
        <w:gridCol w:w="126"/>
        <w:gridCol w:w="126"/>
        <w:gridCol w:w="126"/>
        <w:gridCol w:w="226"/>
        <w:gridCol w:w="748"/>
        <w:gridCol w:w="126"/>
        <w:gridCol w:w="109"/>
        <w:gridCol w:w="109"/>
        <w:gridCol w:w="109"/>
        <w:gridCol w:w="196"/>
        <w:gridCol w:w="631"/>
        <w:gridCol w:w="109"/>
        <w:gridCol w:w="109"/>
        <w:gridCol w:w="109"/>
        <w:gridCol w:w="109"/>
        <w:gridCol w:w="204"/>
        <w:gridCol w:w="204"/>
        <w:gridCol w:w="568"/>
      </w:tblGrid>
      <w:tr>
        <w:trPr/>
        <w:tc>
          <w:tcPr>
            <w:tcW w:w="114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333333"/>
                <w:sz w:val="18"/>
              </w:rPr>
            </w:pPr>
            <w:r>
              <w:rPr>
                <w:rFonts w:ascii="Times New Roman;sans-serif" w:hAnsi="Times New Roman;sans-serif"/>
                <w:b/>
                <w:color w:val="333333"/>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percentages)</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Technology, data and product development</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19,380 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21,131 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Technology, data and product development costs in the three months ended March 31, 2024 decreased $1.8 million, or 8%, compared to the same period in 2023, primarily driven by a $3.1 million decrease in compensation expenses and a $1.1 million decrease in server costs, partially offset by a $2.6 million increase in overhead allocation and other miscellaneous costs.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Sales and Marketing</w:t>
      </w:r>
    </w:p>
    <w:tbl>
      <w:tblPr>
        <w:tblW w:w="6689" w:type="dxa"/>
        <w:jc w:val="left"/>
        <w:tblInd w:w="0" w:type="dxa"/>
        <w:tblLayout w:type="fixed"/>
        <w:tblCellMar>
          <w:top w:w="28" w:type="dxa"/>
          <w:left w:w="28" w:type="dxa"/>
          <w:bottom w:w="28" w:type="dxa"/>
          <w:right w:w="28" w:type="dxa"/>
        </w:tblCellMar>
      </w:tblPr>
      <w:tblGrid>
        <w:gridCol w:w="559"/>
        <w:gridCol w:w="492"/>
        <w:gridCol w:w="494"/>
        <w:gridCol w:w="226"/>
        <w:gridCol w:w="748"/>
        <w:gridCol w:w="126"/>
        <w:gridCol w:w="126"/>
        <w:gridCol w:w="126"/>
        <w:gridCol w:w="126"/>
        <w:gridCol w:w="226"/>
        <w:gridCol w:w="748"/>
        <w:gridCol w:w="126"/>
        <w:gridCol w:w="109"/>
        <w:gridCol w:w="109"/>
        <w:gridCol w:w="109"/>
        <w:gridCol w:w="196"/>
        <w:gridCol w:w="631"/>
        <w:gridCol w:w="109"/>
        <w:gridCol w:w="109"/>
        <w:gridCol w:w="109"/>
        <w:gridCol w:w="109"/>
        <w:gridCol w:w="204"/>
        <w:gridCol w:w="204"/>
        <w:gridCol w:w="568"/>
      </w:tblGrid>
      <w:tr>
        <w:trPr/>
        <w:tc>
          <w:tcPr>
            <w:tcW w:w="55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333333"/>
                <w:sz w:val="18"/>
              </w:rPr>
            </w:pPr>
            <w:r>
              <w:rPr>
                <w:rFonts w:ascii="Times New Roman;sans-serif" w:hAnsi="Times New Roman;sans-serif"/>
                <w:b/>
                <w:color w:val="333333"/>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percentages)</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54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Sales and marketing costs in the three months ended March 31, 2024 decreased by $4.0 million, or 28%, compared to the same period in 2023, primarily driven by a $3.4 million decrease in compensation expenses and a $0.7 million decrease in expenses related to marketing.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General and Administrative</w:t>
      </w:r>
    </w:p>
    <w:tbl>
      <w:tblPr>
        <w:tblW w:w="7168" w:type="dxa"/>
        <w:jc w:val="left"/>
        <w:tblInd w:w="0" w:type="dxa"/>
        <w:tblLayout w:type="fixed"/>
        <w:tblCellMar>
          <w:top w:w="28" w:type="dxa"/>
          <w:left w:w="28" w:type="dxa"/>
          <w:bottom w:w="28" w:type="dxa"/>
          <w:right w:w="28" w:type="dxa"/>
        </w:tblCellMar>
      </w:tblPr>
      <w:tblGrid>
        <w:gridCol w:w="727"/>
        <w:gridCol w:w="640"/>
        <w:gridCol w:w="642"/>
        <w:gridCol w:w="226"/>
        <w:gridCol w:w="748"/>
        <w:gridCol w:w="126"/>
        <w:gridCol w:w="126"/>
        <w:gridCol w:w="126"/>
        <w:gridCol w:w="126"/>
        <w:gridCol w:w="226"/>
        <w:gridCol w:w="748"/>
        <w:gridCol w:w="126"/>
        <w:gridCol w:w="109"/>
        <w:gridCol w:w="109"/>
        <w:gridCol w:w="109"/>
        <w:gridCol w:w="196"/>
        <w:gridCol w:w="646"/>
        <w:gridCol w:w="109"/>
        <w:gridCol w:w="109"/>
        <w:gridCol w:w="109"/>
        <w:gridCol w:w="109"/>
        <w:gridCol w:w="204"/>
        <w:gridCol w:w="204"/>
        <w:gridCol w:w="568"/>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333333"/>
                <w:sz w:val="18"/>
              </w:rPr>
            </w:pPr>
            <w:r>
              <w:rPr>
                <w:rFonts w:ascii="Times New Roman;sans-serif" w:hAnsi="Times New Roman;sans-serif"/>
                <w:b/>
                <w:color w:val="333333"/>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percentages)</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63,068 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51,126 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both"/>
        <w:rPr/>
      </w:pPr>
      <w:r>
        <w:rPr>
          <w:rFonts w:ascii="Times New Roman;sans-serif" w:hAnsi="Times New Roman;sans-serif"/>
          <w:b w:val="false"/>
          <w:color w:val="000000"/>
          <w:sz w:val="18"/>
        </w:rPr>
        <w:t>General and administrative costs in the three months ended March 31, 2024 increased by $11.9 million, or 23%, compared to the same period in 2023, primarily driven by a $7.2 million increase in transaction-related expenses supporting business initiatives and a $5.1 million increase in miscellaneous costs, including overhead allocations. Partially offsetting the increases was a</w:t>
      </w:r>
      <w:r>
        <w:rPr>
          <w:color w:val="000000"/>
        </w:rPr>
        <w:t xml:space="preserve"> </w:t>
      </w:r>
      <w:r>
        <w:rPr>
          <w:rFonts w:ascii="Times New Roman;sans-serif" w:hAnsi="Times New Roman;sans-serif"/>
          <w:b w:val="false"/>
          <w:color w:val="000000"/>
          <w:sz w:val="18"/>
        </w:rPr>
        <w:t>$1.4 million decrease in compensation expenses.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Other Income (Expense), Net</w:t>
      </w:r>
    </w:p>
    <w:tbl>
      <w:tblPr>
        <w:tblW w:w="6599" w:type="dxa"/>
        <w:jc w:val="left"/>
        <w:tblInd w:w="0" w:type="dxa"/>
        <w:tblLayout w:type="fixed"/>
        <w:tblCellMar>
          <w:top w:w="28" w:type="dxa"/>
          <w:left w:w="28" w:type="dxa"/>
          <w:bottom w:w="28" w:type="dxa"/>
          <w:right w:w="28" w:type="dxa"/>
        </w:tblCellMar>
      </w:tblPr>
      <w:tblGrid>
        <w:gridCol w:w="520"/>
        <w:gridCol w:w="458"/>
        <w:gridCol w:w="462"/>
        <w:gridCol w:w="212"/>
        <w:gridCol w:w="782"/>
        <w:gridCol w:w="118"/>
        <w:gridCol w:w="118"/>
        <w:gridCol w:w="118"/>
        <w:gridCol w:w="118"/>
        <w:gridCol w:w="212"/>
        <w:gridCol w:w="782"/>
        <w:gridCol w:w="118"/>
        <w:gridCol w:w="109"/>
        <w:gridCol w:w="109"/>
        <w:gridCol w:w="109"/>
        <w:gridCol w:w="196"/>
        <w:gridCol w:w="646"/>
        <w:gridCol w:w="109"/>
        <w:gridCol w:w="109"/>
        <w:gridCol w:w="109"/>
        <w:gridCol w:w="109"/>
        <w:gridCol w:w="204"/>
        <w:gridCol w:w="204"/>
        <w:gridCol w:w="568"/>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333333"/>
                <w:sz w:val="18"/>
              </w:rPr>
            </w:pPr>
            <w:r>
              <w:rPr>
                <w:rFonts w:ascii="Times New Roman;sans-serif" w:hAnsi="Times New Roman;sans-serif"/>
                <w:b/>
                <w:color w:val="333333"/>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percentages)</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net</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(34,349)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(66,980)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440"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Other expense, net for the three months ended March 31, 2024 decreased by $32.6 million, compared to the same period in 2023. The decrease was primarily due to a lower credit-related impairment loss of $42.8 million on certain investments, driven by changes in the fair value of investments in loans and securities as a result of fluctuations in key inputs to the discounted cash flow models used to determine fair value, and a $1.7 million favorable impact from the changes in fair value remeasurement of warrants. We are not exposed economically to a significant portion of these fair value changes as certain investments are held within consolidated VIEs. For further information, please see “—Net Income (Loss) Attributable to Noncontrolling Interests.” The decrease was partially offset by a higher interest expenses of $12.4 million due to higher interest rates and increased borrowing to support business growth.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 xml:space="preserve">Income Tax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9"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1ae226876884df5aa3fa0a01a318c55_7">
        <w:r>
          <w:rPr>
            <w:rStyle w:val="InternetLink"/>
            <w:rFonts w:ascii="Times New Roman;sans-serif" w:hAnsi="Times New Roman;sans-serif"/>
            <w:b w:val="false"/>
            <w:color w:val="0000FF"/>
            <w:sz w:val="18"/>
            <w:u w:val="single"/>
          </w:rPr>
          <w:t>Table of Contents</w:t>
        </w:r>
      </w:hyperlink>
    </w:p>
    <w:tbl>
      <w:tblPr>
        <w:tblW w:w="6657" w:type="dxa"/>
        <w:jc w:val="left"/>
        <w:tblInd w:w="0" w:type="dxa"/>
        <w:tblLayout w:type="fixed"/>
        <w:tblCellMar>
          <w:top w:w="28" w:type="dxa"/>
          <w:left w:w="28" w:type="dxa"/>
          <w:bottom w:w="28" w:type="dxa"/>
          <w:right w:w="28" w:type="dxa"/>
        </w:tblCellMar>
      </w:tblPr>
      <w:tblGrid>
        <w:gridCol w:w="548"/>
        <w:gridCol w:w="482"/>
        <w:gridCol w:w="484"/>
        <w:gridCol w:w="246"/>
        <w:gridCol w:w="700"/>
        <w:gridCol w:w="137"/>
        <w:gridCol w:w="137"/>
        <w:gridCol w:w="137"/>
        <w:gridCol w:w="137"/>
        <w:gridCol w:w="246"/>
        <w:gridCol w:w="700"/>
        <w:gridCol w:w="137"/>
        <w:gridCol w:w="109"/>
        <w:gridCol w:w="109"/>
        <w:gridCol w:w="109"/>
        <w:gridCol w:w="196"/>
        <w:gridCol w:w="631"/>
        <w:gridCol w:w="109"/>
        <w:gridCol w:w="109"/>
        <w:gridCol w:w="109"/>
        <w:gridCol w:w="109"/>
        <w:gridCol w:w="204"/>
        <w:gridCol w:w="204"/>
        <w:gridCol w:w="568"/>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333333"/>
                <w:sz w:val="18"/>
              </w:rPr>
            </w:pPr>
            <w:r>
              <w:rPr>
                <w:rFonts w:ascii="Times New Roman;sans-serif" w:hAnsi="Times New Roman;sans-serif"/>
                <w:b/>
                <w:color w:val="333333"/>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3"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percentages)</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Income tax expense decreased by $1.7 million, or 25%, to $5.0 million for the three months ended March 31, 2024 from $6.7 million for the three months ended March 31, 2023. The decrease was primarily driven by geographical mix of taxable net income.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Net Income Attributable to Noncontrolling Interests</w:t>
      </w:r>
    </w:p>
    <w:tbl>
      <w:tblPr>
        <w:tblW w:w="9253" w:type="dxa"/>
        <w:jc w:val="left"/>
        <w:tblInd w:w="0" w:type="dxa"/>
        <w:tblLayout w:type="fixed"/>
        <w:tblCellMar>
          <w:top w:w="28" w:type="dxa"/>
          <w:left w:w="28" w:type="dxa"/>
          <w:bottom w:w="28" w:type="dxa"/>
          <w:right w:w="28" w:type="dxa"/>
        </w:tblCellMar>
      </w:tblPr>
      <w:tblGrid>
        <w:gridCol w:w="1484"/>
        <w:gridCol w:w="1303"/>
        <w:gridCol w:w="1307"/>
        <w:gridCol w:w="212"/>
        <w:gridCol w:w="782"/>
        <w:gridCol w:w="118"/>
        <w:gridCol w:w="118"/>
        <w:gridCol w:w="118"/>
        <w:gridCol w:w="118"/>
        <w:gridCol w:w="212"/>
        <w:gridCol w:w="782"/>
        <w:gridCol w:w="118"/>
        <w:gridCol w:w="109"/>
        <w:gridCol w:w="109"/>
        <w:gridCol w:w="109"/>
        <w:gridCol w:w="196"/>
        <w:gridCol w:w="646"/>
        <w:gridCol w:w="109"/>
        <w:gridCol w:w="109"/>
        <w:gridCol w:w="109"/>
        <w:gridCol w:w="109"/>
        <w:gridCol w:w="204"/>
        <w:gridCol w:w="204"/>
        <w:gridCol w:w="568"/>
      </w:tblGrid>
      <w:tr>
        <w:trPr/>
        <w:tc>
          <w:tcPr>
            <w:tcW w:w="1484"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333333"/>
                <w:sz w:val="18"/>
              </w:rPr>
            </w:pPr>
            <w:r>
              <w:rPr>
                <w:rFonts w:ascii="Times New Roman;sans-serif" w:hAnsi="Times New Roman;sans-serif"/>
                <w:b/>
                <w:color w:val="333333"/>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percentages)</w:t>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noncontrolling interests</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(37,652)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noncontrolling interests in the three months ended March 31, 2024 decreased by $27.2 million, or 72%, compared to the same period in 2023. The decrease was driven by the net loss generated by our consolidated VIEs associated with our risk retention holdings. This amount represented the net income (loss) of the consolidated VIEs to which we had no economic right and was the result of interest income of $1.8 million generated from risk retention holdings offset by the credit-related impairment loss of $12.1 million on the same risk retention holdings. For further information, see “—Total Revenue and Other Income” and “—Other Income (Expense),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20" w:after="283"/>
        <w:jc w:val="center"/>
        <w:rPr>
          <w:rFonts w:ascii="Times New Roman;sans-serif" w:hAnsi="Times New Roman;sans-serif"/>
          <w:b/>
          <w:color w:val="000000"/>
          <w:sz w:val="18"/>
        </w:rPr>
      </w:pPr>
      <w:r>
        <w:rPr>
          <w:rFonts w:ascii="Times New Roman;sans-serif" w:hAnsi="Times New Roman;sans-serif"/>
          <w:b/>
          <w:color w:val="000000"/>
          <w:sz w:val="18"/>
        </w:rPr>
        <w:t>Reconciliation of Non-GAAP Financial Measures</w:t>
      </w:r>
    </w:p>
    <w:p>
      <w:pPr>
        <w:pStyle w:val="TextBody"/>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To supplement our consolidated financial statements prepared and presented in accordance with U.S. GAAP, we use the non-GAAP financial measures FRLPC, Adjusted Net Income (Loss) and Adjusted EBITDA to provide investors with additional information about our financial performance and to enhance the overall understanding of the results of operations by highlighting the results from ongoing operations and the underlying profitability of our business. We are presenting these non-GAAP financial measures because we believe they provide an additional tool for investors to use in comparing our core financial performance over multiple periods with the performance of other companies. </w:t>
      </w:r>
    </w:p>
    <w:p>
      <w:pPr>
        <w:pStyle w:val="TextBody"/>
        <w:bidi w:val="0"/>
        <w:spacing w:lineRule="auto" w:line="288" w:before="16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However, non-GAAP financial measures have limitations in their usefulness to investors because they have no standardized meaning prescribed by U.S. GAAP and are not prepared under any comprehensive set of accounting rules or principles. In addition, non-GAAP financial measures may be calculated differently from, and therefore may not be directly comparable to, similarly titled measures used by other companies. As a result, non-GAAP financial measures should be viewed as supplementing, and not as an alternative or substitute for, our consolidated financial statements prepared and presented in accordance with U.S. GAAP. </w:t>
      </w:r>
    </w:p>
    <w:p>
      <w:pPr>
        <w:pStyle w:val="TextBody"/>
        <w:bidi w:val="0"/>
        <w:spacing w:lineRule="auto" w:line="288" w:before="16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To address these limitations, we provide a reconciliation of FRLPC, Adjusted Net Income (Loss) and Adjusted EBITDA to the most directly comparable U.S. GAAP measure. We encourage investors and others to review our financial information in its entirety, not to rely on any single financial measure and to view FRLPC, Adjusted Net Income (Loss) and Adjusted EBITDA in conjunction with their respective related U.S. GAAP financial measures.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FRLPC, Adjusted Net Income (Loss) and Adjusted EBITDA </w:t>
      </w:r>
    </w:p>
    <w:p>
      <w:pPr>
        <w:pStyle w:val="TextBody"/>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FRLPC, Adjusted Net Income (Loss) and Adjusted EBITDA for the three months ended March 31, 2024 and 2023 are summarized below (in thousands):</w:t>
      </w:r>
    </w:p>
    <w:p>
      <w:pPr>
        <w:pStyle w:val="TextBody"/>
        <w:bidi w:val="0"/>
        <w:spacing w:before="0" w:after="0"/>
        <w:jc w:val="left"/>
        <w:rPr/>
      </w:pPr>
      <w:r>
        <w:rPr/>
      </w:r>
    </w:p>
    <w:tbl>
      <w:tblPr>
        <w:tblW w:w="6607" w:type="dxa"/>
        <w:jc w:val="left"/>
        <w:tblInd w:w="0" w:type="dxa"/>
        <w:tblLayout w:type="fixed"/>
        <w:tblCellMar>
          <w:top w:w="28" w:type="dxa"/>
          <w:left w:w="28" w:type="dxa"/>
          <w:bottom w:w="28" w:type="dxa"/>
          <w:right w:w="28" w:type="dxa"/>
        </w:tblCellMar>
      </w:tblPr>
      <w:tblGrid>
        <w:gridCol w:w="1205"/>
        <w:gridCol w:w="1061"/>
        <w:gridCol w:w="1064"/>
        <w:gridCol w:w="219"/>
        <w:gridCol w:w="723"/>
        <w:gridCol w:w="122"/>
        <w:gridCol w:w="122"/>
        <w:gridCol w:w="122"/>
        <w:gridCol w:w="122"/>
        <w:gridCol w:w="219"/>
        <w:gridCol w:w="807"/>
        <w:gridCol w:w="122"/>
        <w:gridCol w:w="109"/>
        <w:gridCol w:w="109"/>
        <w:gridCol w:w="109"/>
        <w:gridCol w:w="109"/>
        <w:gridCol w:w="109"/>
        <w:gridCol w:w="154"/>
      </w:tblGrid>
      <w:tr>
        <w:trPr/>
        <w:tc>
          <w:tcPr>
            <w:tcW w:w="1205"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333333"/>
                <w:sz w:val="18"/>
              </w:rPr>
            </w:pPr>
            <w:r>
              <w:rPr>
                <w:rFonts w:ascii="Times New Roman;sans-serif" w:hAnsi="Times New Roman;sans-serif"/>
                <w:b/>
                <w:color w:val="333333"/>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Fee Revenue Less Production Cost (FRLPC)</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92,123 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50,197 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Adjusted Net Income (Loss) </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13,331 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(11,015)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39,815 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40" name="Frame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1ae226876884df5aa3fa0a01a318c5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FRLPC is defined as revenue from fees less production costs. We use FRLPC as part of overall assessment of performance, including the preparation of our annual budget and quarterly forecasts, to evaluate the effectiveness of our business strategies, and to communicate with our Board of Directors concerning our financial performance. Adjusted Net Income (Loss) is defined as net income (loss) attributable to our shareholders excluding share-based compensation expense, change in fair value of warrant liability, impairment, including credit-related charges, restructuring expenses, transaction-related expenses, and non-recurring expenses associated with mergers and acquisitions. Adjusted EBITDA is defined as net income (loss) attributable to our shareholders excluding share-based compensation expense, change in fair value of warrant liability, impairment, including credit-related charges, restructuring expenses, transaction-related expenses, non-recurring expenses associated with mergers and acquisitions, interest expense, depreciation expense, and provision (and benefit from) for income taxes. </w:t>
      </w:r>
    </w:p>
    <w:p>
      <w:pPr>
        <w:pStyle w:val="TextBody"/>
        <w:bidi w:val="0"/>
        <w:spacing w:lineRule="auto" w:line="288" w:before="16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These items are excluded from our Adjusted Net Income (Loss) and Adjusted EBITDA measures because they are noncash in nature, or because the amount and timing of these items is unpredictable, is not driven by core results of operations and renders comparisons with prior periods and competitors less meaningful.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We believe FRLPC, Adjusted Net Income (Loss) and Adjusted EBITDA provide useful information to investors and others in understanding and evaluating our results of operations, as well as providing a useful measure for period-to-period comparisons of our business performance. Moreover, we have included FRLPC, Adjusted Net Income (Loss) and Adjusted EBITDA in this report because these are key measurements used by our management internally to make operating decisions, including those related to operating expenses, evaluate performance, and perform strategic planning and annual budgeting. However, this non-GAAP financial information is presented for supplemental informational purposes only, should not be considered a substitute for or superior to financial information presented in accordance with U.S. GAAP and may be different from similarly titled non-GAAP financial measures used by other companies.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tables present a reconciliation of the most directly comparable U.S. GAAP measure to FRLPC, Adjusted Net Income (Loss) and Adjusted EBITDA (in thousands):</w:t>
      </w:r>
    </w:p>
    <w:p>
      <w:pPr>
        <w:pStyle w:val="TextBody"/>
        <w:bidi w:val="0"/>
        <w:spacing w:before="0" w:after="0"/>
        <w:jc w:val="both"/>
        <w:rPr/>
      </w:pPr>
      <w:r>
        <w:rPr/>
      </w:r>
    </w:p>
    <w:tbl>
      <w:tblPr>
        <w:tblW w:w="6812" w:type="dxa"/>
        <w:jc w:val="left"/>
        <w:tblInd w:w="0" w:type="dxa"/>
        <w:tblLayout w:type="fixed"/>
        <w:tblCellMar>
          <w:top w:w="28" w:type="dxa"/>
          <w:left w:w="28" w:type="dxa"/>
          <w:bottom w:w="28" w:type="dxa"/>
          <w:right w:w="28" w:type="dxa"/>
        </w:tblCellMar>
      </w:tblPr>
      <w:tblGrid>
        <w:gridCol w:w="1280"/>
        <w:gridCol w:w="1125"/>
        <w:gridCol w:w="1134"/>
        <w:gridCol w:w="209"/>
        <w:gridCol w:w="788"/>
        <w:gridCol w:w="116"/>
        <w:gridCol w:w="116"/>
        <w:gridCol w:w="116"/>
        <w:gridCol w:w="116"/>
        <w:gridCol w:w="209"/>
        <w:gridCol w:w="788"/>
        <w:gridCol w:w="116"/>
        <w:gridCol w:w="109"/>
        <w:gridCol w:w="109"/>
        <w:gridCol w:w="109"/>
        <w:gridCol w:w="109"/>
        <w:gridCol w:w="109"/>
        <w:gridCol w:w="154"/>
      </w:tblGrid>
      <w:tr>
        <w:trPr/>
        <w:tc>
          <w:tcPr>
            <w:tcW w:w="1280"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333333"/>
                <w:sz w:val="18"/>
              </w:rPr>
            </w:pPr>
            <w:r>
              <w:rPr>
                <w:rFonts w:ascii="Times New Roman;sans-serif" w:hAnsi="Times New Roman;sans-serif"/>
                <w:b/>
                <w:color w:val="333333"/>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 from fees</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237,004 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175,254 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Production costs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144,881 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125,057 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Fee Revenue Less Production Cost (FRLPC)</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92,123 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50,197 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7282" w:type="dxa"/>
        <w:jc w:val="left"/>
        <w:tblInd w:w="0" w:type="dxa"/>
        <w:tblLayout w:type="fixed"/>
        <w:tblCellMar>
          <w:top w:w="28" w:type="dxa"/>
          <w:left w:w="28" w:type="dxa"/>
          <w:bottom w:w="28" w:type="dxa"/>
          <w:right w:w="28" w:type="dxa"/>
        </w:tblCellMar>
      </w:tblPr>
      <w:tblGrid>
        <w:gridCol w:w="1449"/>
        <w:gridCol w:w="1276"/>
        <w:gridCol w:w="1280"/>
        <w:gridCol w:w="212"/>
        <w:gridCol w:w="782"/>
        <w:gridCol w:w="118"/>
        <w:gridCol w:w="118"/>
        <w:gridCol w:w="118"/>
        <w:gridCol w:w="118"/>
        <w:gridCol w:w="212"/>
        <w:gridCol w:w="782"/>
        <w:gridCol w:w="118"/>
        <w:gridCol w:w="109"/>
        <w:gridCol w:w="109"/>
        <w:gridCol w:w="109"/>
        <w:gridCol w:w="109"/>
        <w:gridCol w:w="109"/>
        <w:gridCol w:w="154"/>
      </w:tblGrid>
      <w:tr>
        <w:trPr/>
        <w:tc>
          <w:tcPr>
            <w:tcW w:w="144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333333"/>
                <w:sz w:val="18"/>
              </w:rPr>
            </w:pPr>
            <w:r>
              <w:rPr>
                <w:rFonts w:ascii="Times New Roman;sans-serif" w:hAnsi="Times New Roman;sans-serif"/>
                <w:b/>
                <w:color w:val="333333"/>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Loss Attributable to Pagaya Technologies Ltd.</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(21,223)</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(60,971)</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to exclude the following:</w:t>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15,475 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16,367 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adjustment to warrant liability</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loss on certain investments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19,483 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Write-off of capitalized software</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expenses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Transaction-related expenses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Non-recurring expenses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Adjusted Net Income (Loss)</w:t>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13,331 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(11,015)</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to exclude the following:</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15,164 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Income tax expense (benefit) </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Adjusted EBITDA</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39,815 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2,048 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32" w:before="240" w:after="283"/>
        <w:jc w:val="center"/>
        <w:rPr/>
      </w:pPr>
      <w:r>
        <w:rPr>
          <w:rFonts w:ascii="Times New Roman;sans-serif" w:hAnsi="Times New Roman;sans-serif"/>
          <w:b/>
          <w:color w:val="000000"/>
          <w:sz w:val="18"/>
          <w:shd w:fill="FFFFFF" w:val="clear"/>
        </w:rPr>
        <w:t>Liquidity</w:t>
      </w:r>
      <w:r>
        <w:rPr>
          <w:color w:val="000000"/>
        </w:rPr>
        <w:t xml:space="preserve"> </w:t>
      </w:r>
      <w:r>
        <w:rPr>
          <w:rFonts w:ascii="Times New Roman;sans-serif" w:hAnsi="Times New Roman;sans-serif"/>
          <w:b/>
          <w:color w:val="000000"/>
          <w:sz w:val="18"/>
        </w:rPr>
        <w:t>and Capital Resources</w:t>
      </w:r>
    </w:p>
    <w:p>
      <w:pPr>
        <w:pStyle w:val="TextBody"/>
        <w:bidi w:val="0"/>
        <w:spacing w:lineRule="auto" w:line="26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As of March 31, 2024 and December 31, 2023, the principal sources of liquidity were cash, cash equivalents and restricted cash of $310.0 million and $222.5 million, respectively. We believe these sources will be sufficient to meet our current liquidity needs for the next twelve months, from the date of issuance of the Condensed Consolidated Financial Statements included elsewhere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41" name="Frame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1ae226876884df5aa3fa0a01a318c55_7">
        <w:r>
          <w:rPr>
            <w:rStyle w:val="InternetLink"/>
            <w:rFonts w:ascii="Times New Roman;sans-serif" w:hAnsi="Times New Roman;sans-serif"/>
            <w:b w:val="false"/>
            <w:color w:val="0000FF"/>
            <w:sz w:val="18"/>
            <w:u w:val="single"/>
          </w:rPr>
          <w:t>Table of Contents</w:t>
        </w:r>
      </w:hyperlink>
    </w:p>
    <w:p>
      <w:pPr>
        <w:pStyle w:val="TextBody"/>
        <w:bidi w:val="0"/>
        <w:spacing w:lineRule="auto" w:line="26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this Form 10-Q, and be sufficient to support our future cash needs, however, we can provide no assurance that our liquidity and capital resources will meet future funding requirements.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Our primary requirements for liquidity and capital resources are to purchase and finance risk retention requirements, invest in technology, data and product development and to attract, recruit and retain a strong employee base, as well as to fund potential strategic transactions, including acquisitions, if any. We intend to continue to make strategic investments to support our business plans.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We do not have capital expenditure commitments as the vast majority of our capital expenditures relate to the capitalization of certain compensation and non-compensation expenditures used in the development and improvement of our proprietary technology.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There are numerous risks to the Company’s financial results, liquidity and capital raising, some of which may not be quantified in the Company’s current estimates. The principal factors that could impact liquidity and capital needs are a prolonged inability to adequately access funding in the capital markets or in bilateral agreements, including as a result of macroeconomic conditions such as rising interest rates and higher cost of capital, the timing and extent of spending to support development efforts, the expansion of sales and marketing activities, the introduction of new and enhanced products and the continuing market adoption of the Company’s network.</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8"/>
        </w:rPr>
        <w:t>We expect to fund our operations with existing cash and cash equivalents, cash generated from operations, including cash flows from investments in loans and securities, and additional secured borrowings, including repurchase agreements. We may also raise additional capital, including through borrowings under the new credit facility that we entered into in February 2024 (see further description of the new credit facility below in the section titled “</w:t>
      </w:r>
      <w:r>
        <w:rPr>
          <w:rFonts w:ascii="Times New Roman;sans-serif" w:hAnsi="Times New Roman;sans-serif"/>
          <w:b w:val="false"/>
          <w:i/>
          <w:color w:val="000000"/>
          <w:sz w:val="18"/>
        </w:rPr>
        <w:t>Credit Agreement</w:t>
      </w:r>
      <w:r>
        <w:rPr>
          <w:color w:val="000000"/>
        </w:rPr>
        <w:t>”</w:t>
      </w:r>
      <w:r>
        <w:rPr>
          <w:rFonts w:ascii="Times New Roman;sans-serif" w:hAnsi="Times New Roman;sans-serif"/>
          <w:b w:val="false"/>
          <w:color w:val="000000"/>
          <w:sz w:val="18"/>
        </w:rPr>
        <w:t>) or through the sale or issuance of equity or debt securities, as described below in the sections titled “</w:t>
      </w:r>
      <w:r>
        <w:rPr>
          <w:rFonts w:ascii="Times New Roman;sans-serif" w:hAnsi="Times New Roman;sans-serif"/>
          <w:b w:val="false"/>
          <w:i/>
          <w:color w:val="000000"/>
          <w:sz w:val="18"/>
        </w:rPr>
        <w:t>The Committed Equity Financing,</w:t>
      </w:r>
      <w:r>
        <w:rPr>
          <w:color w:val="000000"/>
        </w:rPr>
        <w:t>” “</w:t>
      </w:r>
      <w:r>
        <w:rPr>
          <w:rFonts w:ascii="Times New Roman;sans-serif" w:hAnsi="Times New Roman;sans-serif"/>
          <w:b w:val="false"/>
          <w:i/>
          <w:color w:val="000000"/>
          <w:sz w:val="18"/>
        </w:rPr>
        <w:t>Shelf Registration Statement</w:t>
      </w:r>
      <w:r>
        <w:rPr>
          <w:color w:val="000000"/>
        </w:rPr>
        <w:t xml:space="preserve">” </w:t>
      </w:r>
      <w:r>
        <w:rPr>
          <w:rFonts w:ascii="Times New Roman;sans-serif" w:hAnsi="Times New Roman;sans-serif"/>
          <w:b w:val="false"/>
          <w:color w:val="000000"/>
          <w:sz w:val="18"/>
        </w:rPr>
        <w:t>and “</w:t>
      </w:r>
      <w:r>
        <w:rPr>
          <w:rFonts w:ascii="Times New Roman;sans-serif" w:hAnsi="Times New Roman;sans-serif"/>
          <w:b w:val="false"/>
          <w:i/>
          <w:color w:val="000000"/>
          <w:sz w:val="18"/>
        </w:rPr>
        <w:t>Ordinary Share Offering</w:t>
      </w:r>
      <w:r>
        <w:rPr>
          <w:rFonts w:ascii="Times New Roman;sans-serif" w:hAnsi="Times New Roman;sans-serif"/>
          <w:b w:val="false"/>
          <w:color w:val="000000"/>
          <w:sz w:val="18"/>
        </w:rPr>
        <w:t xml:space="preserve">,” as well as the issuance of up to an additional 1,666,666 Series A Preferred Shares. The ownership interest of our shareholders will be, or could be, diluted as a result of sales or issuances of equity or debt securities, and the terms of any such securities may include liquidation or other preferences that adversely affect the rights of our shareholders of Class A Ordinary Shares. We intend to support our liquidity and capital position by pursuing diversified sources of financing, including debt financing, secured borrowings, or equity financing. The rates, terms, covenants and availability of such additional financing is not guaranteed and will be dependent on not only macro-economic factors, but also on Pagaya-specific factors such as the results of our operations and the returns generated by loans originated with the assistance of our AI Technology.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8"/>
        </w:rPr>
        <w:t>Additional debt financing, such as secured or unsecured borrowings, including repurchase agreements, credit facilities or corporate bonds, and equity financing, if available, may involve agreements that include covenants limiting or restricting our ability to take specific actions, such as incurring additional debt, making capital expenditures or declaring dividends. Our future capital requirements and the adequacy of available funds will depend on many factors, including those set forth in “</w:t>
      </w:r>
      <w:r>
        <w:rPr>
          <w:rFonts w:ascii="Times New Roman;sans-serif" w:hAnsi="Times New Roman;sans-serif"/>
          <w:b w:val="false"/>
          <w:i/>
          <w:color w:val="000000"/>
          <w:sz w:val="18"/>
        </w:rPr>
        <w:t>Risk Factors</w:t>
      </w:r>
      <w:r>
        <w:rPr>
          <w:color w:val="000000"/>
        </w:rPr>
        <w:t xml:space="preserve">” </w:t>
      </w:r>
      <w:r>
        <w:rPr>
          <w:rFonts w:ascii="Times New Roman;sans-serif" w:hAnsi="Times New Roman;sans-serif"/>
          <w:b w:val="false"/>
          <w:color w:val="000000"/>
          <w:sz w:val="18"/>
        </w:rPr>
        <w:t>in our Annual Report on Form 10-K, which was filed with the SEC on April 25,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 addition, we will receive the proceeds from any exercise of any public warrants and private placement warrants in cash. Each public warrant and each private placement warrant that was issued and exchanged for each EJFA Private Placement Warrant in the EJFA Merger entitles the holder thereof to purchase one Class A Ordinary Share at a price of $138 per share. The aggregate amount of proceeds could be up to $169.6 million if all such warrants are exercised for cash. We expect to use any such proceeds for general corporate and working capital purposes, which would increase our liquidity.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8"/>
        </w:rPr>
        <w:t xml:space="preserve">As of May 8, 2024, the price of our Class A Ordinary Shares was $10.50 per share. We believe the likelihood that warrant holders will exercise their public warrants and private placement warrants that were issued and exchanged for EJFA Private Placement Warrants in the EJFA Merger, and therefore the amount of cash proceeds that we would receive, is dependent upon the market price of Class A Ordinary Shares. If the market price for our Class A Ordinary Shares is less than $138 per share, we believe warrant holders will be unlikely to exercise on a cash basis their public warrants and private placement warrants that were issued and exchanged for EJFA Private Placement Warrants in the EJFA Merger. To the extent the public warrants and private placement warrants are exercised by warrant holders, ownership interest of our shareholders will be diluted as a result of such issuances. Moreover, the resale of Class A Ordinary Shares issuable upon the exercise of such warrants, or the perception of such sales, may cause the market price of our Class A Ordinary Shares to decline and impact our ability to raise additional financing on favorable terms. See </w:t>
      </w:r>
      <w:r>
        <w:rPr>
          <w:color w:val="000000"/>
        </w:rPr>
        <w:t>“</w:t>
      </w:r>
      <w:r>
        <w:rPr>
          <w:rFonts w:ascii="Times New Roman;sans-serif" w:hAnsi="Times New Roman;sans-serif"/>
          <w:b w:val="false"/>
          <w:i/>
          <w:color w:val="000000"/>
          <w:sz w:val="18"/>
        </w:rPr>
        <w:t>Risk Factors—We have and may need to continue to raise additional funds in the future, including but not limited to, through equity, debt, secured borrowings, or convertible debt financings, to support business growth, and those funds may be unavailable on acceptable terms, or at all. As a result, we may be unable to meet our future capital requirements, which could limit our ability to grow and jeopardize our ability to continue our business” and “Risk Factors—Risks Related to Ownership of our Class A Ordinary Shares and Warrants”</w:t>
      </w:r>
      <w:r>
        <w:rPr>
          <w:color w:val="000000"/>
        </w:rPr>
        <w:t xml:space="preserve"> </w:t>
      </w:r>
      <w:r>
        <w:rPr>
          <w:rFonts w:ascii="Times New Roman;sans-serif" w:hAnsi="Times New Roman;sans-serif"/>
          <w:b w:val="false"/>
          <w:color w:val="000000"/>
          <w:sz w:val="18"/>
        </w:rPr>
        <w:t>in our Annual Report on Form 10-K, which was filed with the SEC on April 25, 2024.</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42" name="Frame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1ae226876884df5aa3fa0a01a318c5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We may, in the future, enter into arrangements to acquire or invest in complementary businesses, products, and technologies. We may be required to seek additional equity or debt financing related to such acquisitions or investments. In the event that we pursue additional financing, we may not be able to raise such financing on terms acceptable to us or at all. Additionally, as a result of any of these actions, we may be subject to restrictions and covenants in the agreements governing these transactions that may place limitations on us and we may be required to pledge collateral as security. If we are unable to raise additional capital or generate cash flows necessary to expand operations and invest in continued innovation, we may not be able to compete successfully, which would harm our business, operations and financial condition. It is also possible that the actual outcome of one or more of our plans could be materially different than expected or that one or more of the significant judgments or estimates could prove to be materially incorrect.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8"/>
          <w:shd w:fill="FFFFFF" w:val="clear"/>
        </w:rPr>
      </w:pPr>
      <w:r>
        <w:rPr>
          <w:rFonts w:ascii="Times New Roman;sans-serif" w:hAnsi="Times New Roman;sans-serif"/>
          <w:b/>
          <w:color w:val="000000"/>
          <w:sz w:val="18"/>
          <w:shd w:fill="FFFFFF" w:val="clear"/>
        </w:rPr>
        <w:t>The Committed Equity Financing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On August 17, 2022, we entered into the Equity Financing Purchase Agreement and the Equity Financing Registration Rights Agreement with B. Riley Principal Capital II. Pursuant to the Equity Financing Purchase Agreement, we have the right to sell to B. Riley Principal Capital II, up to $300 million of our Class A Ordinary Shares, subject to certain limitations and conditions set forth in the Equity Financing Purchase Agreement, from time to time during the 24-month term of the Equity Financing Purchase Agreement. Sales of our Class A Ordinary Shares pursuant to the Equity Financing Purchase Agreement, and the timing of any sales, are solely at our option, and we are under no obligation to sell any securities to B. Riley Principal Capital II under the Equity Financing Purchase Agreement.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During the three months ended March 31, 2024, 298,057 shares were issued under the Equity Financing Purchase Agreement for net proceeds of $5.2 million. </w:t>
      </w:r>
    </w:p>
    <w:p>
      <w:pPr>
        <w:pStyle w:val="TextBody"/>
        <w:bidi w:val="0"/>
        <w:spacing w:lineRule="auto" w:line="288" w:before="220" w:after="283"/>
        <w:jc w:val="both"/>
        <w:rPr>
          <w:rFonts w:ascii="Times New Roman;sans-serif" w:hAnsi="Times New Roman;sans-serif"/>
          <w:b/>
          <w:color w:val="000000"/>
          <w:sz w:val="18"/>
        </w:rPr>
      </w:pPr>
      <w:r>
        <w:rPr>
          <w:rFonts w:ascii="Times New Roman;sans-serif" w:hAnsi="Times New Roman;sans-serif"/>
          <w:b/>
          <w:color w:val="000000"/>
          <w:sz w:val="18"/>
        </w:rPr>
        <w:t>Shelf Registration Statement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On October 4, 2023, we filed a shelf registration statement on Form F-3 (the “Shelf Registration”) with the SEC that was declared effective on October 16, 2023. Under this Shelf Registration, we may, from time to time, offer and sell in one or more offerings Class A ordinary shares, various series of debt securities and/or warrants to purchase any of such securities, either individually or in combination with any of these securities, up to $500 million.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18"/>
        </w:rPr>
      </w:pPr>
      <w:r>
        <w:rPr>
          <w:rFonts w:ascii="Times New Roman;sans-serif" w:hAnsi="Times New Roman;sans-serif"/>
          <w:b/>
          <w:color w:val="000000"/>
          <w:sz w:val="18"/>
        </w:rPr>
        <w:t>Ordinary Share Offering</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On March 13, 2024, the Company priced an offering of 7,500,000 of its Class A Ordinary Shares, no par value, pursuant to an underwriting agreement (the “Underwriting Agreement”) with Citigroup Global Markets Inc. and Jefferies LLC as representatives of the several underwriters. The proceeds from the offer and sale of the securities are approximately $90.0 million, after deducting the underwriting discount and fees and offering expenses payable by the Company.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Cash Flows</w:t>
      </w:r>
    </w:p>
    <w:p>
      <w:pPr>
        <w:pStyle w:val="TextBody"/>
        <w:bidi w:val="0"/>
        <w:spacing w:lineRule="auto" w:line="288" w:before="16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summarized consolidated cash flow information for the periods presented (in thousands):</w:t>
      </w:r>
    </w:p>
    <w:p>
      <w:pPr>
        <w:pStyle w:val="TextBody"/>
        <w:bidi w:val="0"/>
        <w:spacing w:before="0" w:after="0"/>
        <w:jc w:val="both"/>
        <w:rPr/>
      </w:pPr>
      <w:r>
        <w:rPr/>
      </w:r>
    </w:p>
    <w:tbl>
      <w:tblPr>
        <w:tblW w:w="6514" w:type="dxa"/>
        <w:jc w:val="left"/>
        <w:tblInd w:w="0" w:type="dxa"/>
        <w:tblLayout w:type="fixed"/>
        <w:tblCellMar>
          <w:top w:w="28" w:type="dxa"/>
          <w:left w:w="28" w:type="dxa"/>
          <w:bottom w:w="28" w:type="dxa"/>
          <w:right w:w="28" w:type="dxa"/>
        </w:tblCellMar>
      </w:tblPr>
      <w:tblGrid>
        <w:gridCol w:w="1331"/>
        <w:gridCol w:w="1169"/>
        <w:gridCol w:w="1174"/>
        <w:gridCol w:w="203"/>
        <w:gridCol w:w="842"/>
        <w:gridCol w:w="113"/>
        <w:gridCol w:w="113"/>
        <w:gridCol w:w="113"/>
        <w:gridCol w:w="113"/>
        <w:gridCol w:w="203"/>
        <w:gridCol w:w="764"/>
        <w:gridCol w:w="113"/>
        <w:gridCol w:w="109"/>
        <w:gridCol w:w="154"/>
      </w:tblGrid>
      <w:tr>
        <w:trPr/>
        <w:tc>
          <w:tcPr>
            <w:tcW w:w="133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333333"/>
                <w:sz w:val="18"/>
              </w:rPr>
            </w:pPr>
            <w:r>
              <w:rPr>
                <w:rFonts w:ascii="Times New Roman;sans-serif" w:hAnsi="Times New Roman;sans-serif"/>
                <w:b/>
                <w:color w:val="333333"/>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20,470 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(23,673)</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(230,886)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(99,665)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298,743 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103,024 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color w:val="000000"/>
          <w:sz w:val="18"/>
        </w:rPr>
      </w:pPr>
      <w:r>
        <w:rPr>
          <w:rFonts w:ascii="Times New Roman;sans-serif" w:hAnsi="Times New Roman;sans-serif"/>
          <w:b/>
          <w:color w:val="000000"/>
          <w:sz w:val="18"/>
        </w:rPr>
        <w:t>Operating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Our primary uses of cash in operating activities are for ordinary course of business, with the primary use related to employee and personnel-related expenses. As of March 31, 2024, we had 714 employees, including 178 full-time Darwin employees, compared to 712 on December 31, 2023. During the first and second quarters of 2023, we reduced our headcount by over 20% across our Israel and U.S. offices. This reduction in workforce enabled us to streamline our operations resulting in cost savings. </w:t>
      </w:r>
    </w:p>
    <w:p>
      <w:pPr>
        <w:pStyle w:val="TextBody"/>
        <w:bidi w:val="0"/>
        <w:spacing w:lineRule="auto" w:line="288" w:before="16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Net cash provided by operating activities for the three months ended March 31, 2024 was $20.5 million, an increase of $44.1 million from net cash used in operating activities of $23.7 million for the same period in 2023. This reflects our net loss including noncontrolling interests of $31.7 million, adjusted for non-cash charges of $47.4 million, and net cash inflows of $4.8 million from changes in our operating assets net of operating liabilities.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1445"/>
                <wp:effectExtent l="0" t="0" r="0" b="0"/>
                <wp:wrapNone/>
                <wp:docPr id="43" name="Frame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1ae226876884df5aa3fa0a01a318c5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Non-cash charges primarily consisted of (1) impairment losses on investments in loans and securities, which decreased by $41.5 million driven by changes in the fair value of investments in loans and securities as a result of fluctuations in key inputs to the discounted cash flow models used to determine fair value (we are not exposed economically to a portion of these fair value changes as certain investments are held within consolidated VIEs), (2) share-based compensation, which decreased by $0.9 million, (3) depreciation and amortization, which increased by $2.8 million primarily from capitalized software, and (4) fair value adjustment to warrant liability, which decreased by $1.7 million driven by changes in the market price of our Class A Ordinary Shares.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Our net cash flows resulting from changes in operating assets and liabilities increased by $18.4 million to net cash inflows of $4.8 million for the three months ended March 31, 2024 compared to net cash outflow of $13.7 million for the same period in 2023, reflecting cost savings. </w:t>
      </w:r>
    </w:p>
    <w:p>
      <w:pPr>
        <w:pStyle w:val="TextBody"/>
        <w:bidi w:val="0"/>
        <w:spacing w:lineRule="auto" w:line="288" w:before="220" w:after="283"/>
        <w:jc w:val="both"/>
        <w:rPr/>
      </w:pPr>
      <w:r>
        <w:rPr>
          <w:rFonts w:ascii="Times New Roman;sans-serif" w:hAnsi="Times New Roman;sans-serif"/>
          <w:b/>
          <w:color w:val="000000"/>
          <w:sz w:val="18"/>
        </w:rPr>
        <w:t>Investing Activities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Our primary uses of cash in investing activities are the purchase of risk retention assets of sponsored securitization vehicles and investments in equity method and other investments.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 March 31, 2024, net cash used in investing activities of $230.9 million was primarily attributable to purchases of risk retention assets of $261.6 million, which increased by $139.9 million driven by business growth, partially offset by proceeds received from existing risk retention assets of $35.9 million, which also increased by $9.9 million.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18"/>
        </w:rPr>
        <w:t>Financing Activities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For the three months ended March 31, 2024, net cash provided by financing activities of $298.7 million was primarily attributable to $233.6 million of net proceeds from issuance of long-term debt, net of repayments, $89.9 million of net proceeds from the ordinary share offering, $59.4 million from secured borrowings executed to finance certain risk retention assets, net of repayments, and $5.3 million of proceeds from the issuance of our Class A Ordinary Shares under the Equity Financing Purchase Agreement. These net cash inflows were partially offset by $90.0 million of repayments of the SVB revolving credit facility.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8"/>
          <w:shd w:fill="FFFFFF" w:val="clear"/>
        </w:rPr>
      </w:pPr>
      <w:r>
        <w:rPr>
          <w:rFonts w:ascii="Times New Roman;sans-serif" w:hAnsi="Times New Roman;sans-serif"/>
          <w:b/>
          <w:color w:val="000000"/>
          <w:sz w:val="18"/>
          <w:shd w:fill="FFFFFF" w:val="clear"/>
        </w:rPr>
        <w:t>Indebtedness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18"/>
        </w:rPr>
      </w:pPr>
      <w:r>
        <w:rPr>
          <w:rFonts w:ascii="Times New Roman;sans-serif" w:hAnsi="Times New Roman;sans-serif"/>
          <w:b/>
          <w:i/>
          <w:color w:val="000000"/>
          <w:sz w:val="18"/>
        </w:rPr>
        <w:t>Credit Agreement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On February 2, 2024, the Company entered into a certain Credit Agreement (the “Credit Agreement”) which provides for a 5-year senior secured revolving credit facility (the “Revolving Credit Facility”) in an initial principal amount of $25 million, which subsequently increased to $35 million, and a 5 year senior secured term loan facility (the “Term Loan Facility,” and together with the Revolving Credit Facility, the “Facilities”) in an initial principal amount of $255 million.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Facilities replace the SVB Revolving Credit Facility. In addition to replacing the SVB Revolving Credit Facility, proceeds of borrowings under the Facilities may be used for general corporate purposes of the Company and its subsidiaries. As of the date of this filing, no borrowings have been made under the Revolving Credit Facility.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 may voluntarily prepay borrowings under the Facilities at any time and from time to time subject to, in regards to voluntary prepayments and certain mandatory prepayments of the Term Loan Facility, a 3.00% fee if paid prior to the first anniversary of the Term Loan Facility, 2.00% if paid after the first anniversary but prior to the second anniversary, 1.00% if after the second anniversary but prior to the third anniversary, and 0.50% if after the third anniversary but prior to the fourth anniversary. In each case, prepayments of the Facilities may be subject to the payment of “breakage” costs.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Facilities contain certain customary mandatory prepayment events, including requirements to prepay the Term Loan Facility with excess cash flow and with the net cash proceeds from certain asset dispositions and casualty events, subject to customary reinvestment rights and other exceptions.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No amortization payments are required to be made in respect of borrowings under the Revolving Credit Facility. Amortization payments are required to be made in respect of the term loans under the Term Loan Facility in amount of 1.25% per quarter of the original principal amount of the term loans under the Term Loan Facility.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Borrowings under the Facilities bear interest at a rate per annum equal to, at the Company’s option, (i) a base rate (determined based on the prime rate and subject to a 2.00% floor) plus a margin of 6.50% or (ii) an adjusted term Secured Overnight Financing Rate (subject to a 1.00% floor) plus a margin of 7.50%. A commitment fee accrues on any unused portion of the commitments under the Revolving Credit Facility at a rate per annum of 0.25% and is payable quarterly in arrears.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1445"/>
                <wp:effectExtent l="0" t="0" r="0" b="0"/>
                <wp:wrapNone/>
                <wp:docPr id="44" name="Frame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1ae226876884df5aa3fa0a01a318c55_7">
        <w:r>
          <w:rPr>
            <w:rStyle w:val="InternetLink"/>
            <w:rFonts w:ascii="Times New Roman;sans-serif" w:hAnsi="Times New Roman;sans-serif"/>
            <w:b w:val="false"/>
            <w:color w:val="0000FF"/>
            <w:sz w:val="18"/>
            <w:u w:val="single"/>
          </w:rPr>
          <w:t>Table of Contents</w:t>
        </w:r>
      </w:hyperlink>
    </w:p>
    <w:p>
      <w:pPr>
        <w:pStyle w:val="TextBody"/>
        <w:bidi w:val="0"/>
        <w:spacing w:lineRule="auto" w:line="26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Company’s obligations under the Credit Agreement are guaranteed by certain of the Company’s material, wholly-owned subsidiaries (collectively, the “Guarantors”) and are secured by a first priority lien on substantially all assets of the Company and the Guarantors, subject to certain customary exceptions.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Credit Agreement contains customary negative covenants, which include, among other things, limitations on the ability of the Company and its consolidated subsidiaries to incur indebtedness, grant liens, engage in certain fundamental changes, make certain dispositions and investments, enter into sale and leaseback transactions, and make restricted payments and other distributions. The Credit Agreement contains certain financial covenants customary for a credit facility of this type, which include, among other things, a maximum first lien leverage ratio, a minimum fixed charge coverage ratio and a minimum tangible book value ratio. The Credit Agreement also contains affirmative covenants customary for a credit facility of its type, including customary reporting covenants.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Credit Agreement includes events of default related to, among other things, failure to pay amounts due under the Credit Agreement, breaches of representations, warranties or covenants, defaults under other material indebtedness, certain events of bankruptcy or insolvency, material judgment defaults and change of control, in each case, subject to customary cure periods where appropriate.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As of March 31, 2024, the Company had an outstanding balance of $235.0 million, which is recorded within long-term debt on the consolidated balance sheet, and the Company had letters of credit issued in the amount of $10.0 million, and $25.0 million of remaining capacity available under the Revolving Credit Facility. The Company is in compliance with all covenants.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 xml:space="preserve">Contractual Obligations, Commitments and Contingencies </w:t>
      </w:r>
    </w:p>
    <w:p>
      <w:pPr>
        <w:pStyle w:val="TextBody"/>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During the normal course of business, we enter into certain lease contracts with lease terms through 2032. As of March 31, 2024, the total remaining contractual obligations are approximately $59.7 million, of which $7.2 million is for the next 12 months. During the year ended March 31, 2024, we entered into a purchase commitment with our third-party cloud computing web services provider, which included an annual purchase commitment of $4.6 million for the period from October 2023 through September 2025. As of March 31, 2024, the total remaining contractual obligations are approximately $7.3 million, of which $4.9 million is for the next 12 months. We may pay more than the minimum purchase commitment based on usage. </w:t>
      </w:r>
    </w:p>
    <w:p>
      <w:pPr>
        <w:pStyle w:val="TextBody"/>
        <w:bidi w:val="0"/>
        <w:spacing w:lineRule="auto" w:line="288" w:before="2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 the ordinary course of business, the Company may provide indemnifications or loss guarantees of varying scope and terms to customers and other third parties with respect to certain matters, including, but not limited to, losses arising out of breach of such agreements, services to be provided by the Company or from intellectual property infringement claims made by third parties. These indemnifications may survive termination of the underlying agreement and the maximum potential amount of future indemnification payments may not be subject to a cap. As of March 31, 2024, there have been no known events or circumstances that have resulted in a material indemnification liability and the Company did not incur material costs to defend lawsuits or settle claims related to these indemnifications. For certain contracts meeting the definition of a guarantee or a derivative, the guarantor must recognize, at inception, a liability for the fair value of the obligation undertaken in issuing the guarantee. In addition, the guarantor must disclose the maximum potential amount of future payments that the guarantor could be required to make under the guarantee, if there were a default by the guaranteed parties. The determination of the maximum potential future payments is based on the notional amount of the guarantees without consideration of possible recoveries under recourse provisions or from collateral held or pledged. As of March 31, 2024, the maximum potential amount of undiscounted future payments the Company could be required to make under these guarantees totaled $26.0 million. In accordance with the guarantee contracts, the maximum potential payment amount has been segregated and recognized within restricted cash in the consolidated balance sheet. </w:t>
      </w:r>
    </w:p>
    <w:p>
      <w:pPr>
        <w:pStyle w:val="TextBody"/>
        <w:bidi w:val="0"/>
        <w:spacing w:lineRule="auto" w:line="288" w:before="240" w:after="283"/>
        <w:jc w:val="both"/>
        <w:rPr/>
      </w:pPr>
      <w:r>
        <w:rPr>
          <w:rFonts w:ascii="Times New Roman;sans-serif" w:hAnsi="Times New Roman;sans-serif"/>
          <w:b w:val="false"/>
          <w:color w:val="000000"/>
          <w:sz w:val="18"/>
        </w:rPr>
        <w:t xml:space="preserve">For a discussion of our long-term debt obligations and operating lease obligations as of March 31, 2024, see Note 4 and Note 7, respectively, to our consolidated financial statements included elsewhere in </w:t>
      </w:r>
      <w:r>
        <w:rPr>
          <w:rFonts w:ascii="Times New Roman;sans-serif" w:hAnsi="Times New Roman;sans-serif"/>
          <w:b w:val="false"/>
          <w:color w:val="000000"/>
          <w:sz w:val="18"/>
          <w:shd w:fill="FFFFFF" w:val="clear"/>
        </w:rPr>
        <w:t xml:space="preserve">this Quarterly Report. </w:t>
      </w:r>
    </w:p>
    <w:p>
      <w:pPr>
        <w:pStyle w:val="TextBody"/>
        <w:bidi w:val="0"/>
        <w:spacing w:lineRule="auto" w:line="288" w:before="220" w:after="283"/>
        <w:jc w:val="both"/>
        <w:rPr/>
      </w:pPr>
      <w:r>
        <w:rPr>
          <w:rFonts w:ascii="Times New Roman;sans-serif" w:hAnsi="Times New Roman;sans-serif"/>
          <w:b/>
          <w:color w:val="000000"/>
          <w:sz w:val="18"/>
          <w:shd w:fill="FFFFFF" w:val="clear"/>
        </w:rPr>
        <w:t>Off-Balance</w:t>
      </w:r>
      <w:r>
        <w:rPr>
          <w:color w:val="000000"/>
        </w:rPr>
        <w:t xml:space="preserve"> </w:t>
      </w:r>
      <w:r>
        <w:rPr>
          <w:rFonts w:ascii="Times New Roman;sans-serif" w:hAnsi="Times New Roman;sans-serif"/>
          <w:b/>
          <w:color w:val="000000"/>
          <w:sz w:val="18"/>
        </w:rPr>
        <w:t>Sheet Arrangements</w:t>
      </w:r>
    </w:p>
    <w:p>
      <w:pPr>
        <w:pStyle w:val="TextBody"/>
        <w:bidi w:val="0"/>
        <w:spacing w:lineRule="auto" w:line="288" w:before="220" w:after="283"/>
        <w:jc w:val="both"/>
        <w:rPr/>
      </w:pPr>
      <w:r>
        <w:rPr>
          <w:rFonts w:ascii="Times New Roman;sans-serif" w:hAnsi="Times New Roman;sans-serif"/>
          <w:b w:val="false"/>
          <w:color w:val="000000"/>
          <w:sz w:val="18"/>
        </w:rPr>
        <w:t xml:space="preserve">In the ordinary course of business, we engage in activities with unconsolidated VIEs, including our sponsored securitization vehicles, which we contractually administer. To comply with risk retention regulatory requirements, we retain at least 5% of the credit risk of the securities issued by sponsored securitization vehicles. From time to time, we may, but are not obligated to, purchase assets from the Financing Vehicles. Such purchases could expose us to loss. For additional information, refer to Note 8 </w:t>
      </w:r>
      <w:r>
        <w:rPr>
          <w:rFonts w:ascii="Times New Roman;sans-serif" w:hAnsi="Times New Roman;sans-serif"/>
          <w:b w:val="false"/>
          <w:color w:val="000000"/>
          <w:sz w:val="18"/>
          <w:shd w:fill="FFFFFF" w:val="clear"/>
        </w:rPr>
        <w:t>to the consolidated financial statements elsewhere included in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32" w:before="240" w:after="283"/>
        <w:jc w:val="center"/>
        <w:rPr/>
      </w:pPr>
      <w:r>
        <w:rPr>
          <w:rFonts w:ascii="Times New Roman;sans-serif" w:hAnsi="Times New Roman;sans-serif"/>
          <w:b/>
          <w:color w:val="000000"/>
          <w:sz w:val="18"/>
          <w:shd w:fill="FFFFFF" w:val="clear"/>
        </w:rPr>
        <w:t>Critical</w:t>
      </w:r>
      <w:r>
        <w:rPr>
          <w:color w:val="000000"/>
        </w:rPr>
        <w:t xml:space="preserve"> </w:t>
      </w:r>
      <w:r>
        <w:rPr>
          <w:rFonts w:ascii="Times New Roman;sans-serif" w:hAnsi="Times New Roman;sans-serif"/>
          <w:b/>
          <w:color w:val="000000"/>
          <w:sz w:val="18"/>
        </w:rPr>
        <w:t>Accounting Estimates</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Our significant accounting policies and their effect on our financial condition and results of operations are more fully described in our audited consolidated financial statements included in our Annual Report on Form 10-K. Management has reassessed the critical accounting policies and estimates as disclosed in Note 2 to the audited Consolidated Financial Statements included in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1445"/>
                <wp:effectExtent l="0" t="0" r="0" b="0"/>
                <wp:wrapNone/>
                <wp:docPr id="45" name="Frame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1ae226876884df5aa3fa0a01a318c5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Annual Report on Form 10-K and determined that there were no significant changes in our critical accounting policies and estimates during the three months ended March 31,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We are exposed to market risks in the ordinary course of our business. Market risk represents the risk of loss that may impact our financial position due to adverse changes in market prices. Our market risk exposure primarily relates to fluctuations in credit risk. We are exposed to market risk directly through investments in loans and securities held on our consolidated balance sheets and access to the securitization markets.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Credit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Credit risk refers to the risk of loss arising from individual borrower default due to inability or unwillingness to meet their financial obligations. The performance of certain financial instruments, including investments in loans, securitization notes and residual certificates on our consolidated balance sheets, is dependent on the credit performance. To manage this risk, we monitor borrower payment performance and utilize our proprietary, AI-powered technology to evaluate individual loans in a manner that we believe is reflective of the credit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fair values of these loans, securitization notes, and residual certificates are estimated based on a discounted cash flow model which involves the use of significant unobservable inputs and assumptions, the most significant of which is expected credit losses. Accordingly, these instruments are sensitive to changes in credit risk. As of March 31, 2024 and December 31, 2023, we were exposed to credit risk on $894 million and $717 million, respectively, of investments in loans and securities held on our consolidated balance sheet, with $804 million and $618 million, respectively, representing net exposure exclusive of non-controlling interests. We implemented portfolio risk monitoring that includes internal monitoring as well as competitor / market assessments, macro-economic trends, and associated stress testing. Loans and related risk retention securities are monitored throughout the entire lifecycle. This risk monitoring framework is intended to deliver timely and actionable feedback credit risk exposures.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We are also exposed to credit risk in the event of non-performance by the financial institutions holding our cash or providing access to our credit line. We maintain our cash deposits in highly-rated financial institutions. In the United States, the majority of our cash deposits are held at federally insured accounts. We manage this risk by maintaining our cash deposits at well-established, well-capitalized financial institutions and diversifying our counterparties.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Interest Rate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interest rates charged on the loans originated by Partners are subject to change by the platform sellers, originators, and/or servicers. Higher interest rates could negatively impact collections on the underlying loans, leading to increased delinquencies, defaults, and our borrower bankruptcies, all of which could have a substantial adverse effect on our business. This would also impact future loans and securitizations.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Additionally, we maintain certain financing sources with varying degrees of interest rate sensitivities, including floating-rate interest payments on Pagaya’s credit facilities. Accordingly, trends in the prevailing interest rate environment can influence interest expense/payments and harm the results of our operations. See Item 5.B. Liquidity and Capital Resources for additional information.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We also rely on securitization transactions, with notes of those transactions typically bearing a fixed coupon. For future securitization issuances, higher interest rates could effect overall deal economics as well as the returns we would generate on our related risk retention investments.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Foreign Exchange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Foreign currency exchange rates do not pose a material market risk exposure. However, given the compensation and non-compensation expenses denominated in Israeli Shekel, our inability or failure to manage foreign exchange risk could harm our business, financial condition, or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Item 4. CONTROLS AND PROCEDURES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 xml:space="preserve">Evaluation of Disclosure Controls and Procedures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1445"/>
                <wp:effectExtent l="0" t="0" r="0" b="0"/>
                <wp:wrapNone/>
                <wp:docPr id="46" name="Frame4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1ae226876884df5aa3fa0a01a318c5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We maintain disclosure controls and procedures (as that term is defined in Rules 13a-15(e) and 15d-15(e) under the Securities Exchange Act of 1934, as amended)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Any controls and procedures, no matter how well designed and operated, can provide only reasonable assurance of achieving the desired control objectives. Our management, with the participation of our Chief Executive Officer and Chief Financial Officer, has evaluated the effectiveness of the design and operation of our disclosure controls and procedures as of March 31, 2024. Based upon that evaluation, our Chief Executive Officer and Chief Financial Officer concluded that, as of March 31, 2024, our disclosure controls and procedures were effective to accomplish their objectives at the reasonable assurance level.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 xml:space="preserve">Changes in Internal Control over Financial Reporting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There were no changes in our internal control over financial reporting (as such term is defined in Rules 13a-15(f) and 15d-15(f) under the Securities Exchange Act) that occurred during the quarter ended March 31, 2024 that have materially affected, or are reasonably likely to materially affect, our internal control over financial reporting.</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18"/>
        </w:rPr>
        <w:t>Inherent Limitations on Effectiveness of Internal Control</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effectiveness of any system of internal control over financial reporting is subject to inherent limitations, including the exercise of judgment in designing, implementing, operating, and evaluating the controls and procedures, and the inability to eliminate misconduct completely. Accordingly, any system of internal control over financial reporting, no matter how well designed and operated, can only provide reasonable, not absolute assurance that its objectives will be met.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such improvements will be subject to the same inherent limitations outlined in this section.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PART II - 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Item 1. Legal Proceedings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Please refer to Note 8. “Commitments and Contingencies” of the accompanying notes to our interim condensed consolidated financial statements.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From time to time, we may be subject to other legal proceedings and claims in the ordinary course of business. We are not presently a party to any such other legal proceedings that, if determined adversely to us, would individually or taken together have a material adverse effect on our business, results of operations, financial condition, or cash flows. The results of any current or future litigation cannot be predicted with certainty, and regardless of the outcome, litigation can have an adverse impact on us because of defense and settlement costs, diversion of management resources, and other factors.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Item 1A. Risk Factors</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risks described under the heading “Risk Factors” in our Annual Report on Form 10-K for the year ended December 31, 2023 could materially and adversely affect our business, financial condition, results of operations, cash flows, future prospects, and the trading price of our Class A Ordinary Share. The risks and uncertainties described therein are not the only ones we face. Additional risks and uncertainties that we are unaware of or that we currently deem immaterial may also become important factors that adversely affect our business.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You should carefully read and consider such risks, together with all of the other information in our Annual Report on Form 10-K for the year ended December 31, 2023, in this Quarterly Report on Form 10-Q (including the disclosures in the section titled “Management’s Discussion and Analysis of Financial Condition and Results of Operations” and in our interim condensed consolidated financial statements and related notes), and in the other documents that we file with the SEC.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There have been no material changes from the risk factors previously disclosed under the heading “Risk Factors” in our Annual Report on Form 10-K for the year ended December 31,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18"/>
        </w:rPr>
        <w:t xml:space="preserve">Item 2. </w:t>
      </w:r>
      <w:r>
        <w:rPr>
          <w:rFonts w:ascii="Times New Roman;sans-serif" w:hAnsi="Times New Roman;sans-serif"/>
          <w:b/>
          <w:color w:val="000000"/>
          <w:sz w:val="18"/>
          <w:shd w:fill="FFFFFF" w:val="clear"/>
        </w:rPr>
        <w:t>Unregistered Sales of Equity Securities and Use of Proceeds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1445"/>
                <wp:effectExtent l="0" t="0" r="0" b="0"/>
                <wp:wrapNone/>
                <wp:docPr id="47" name="Frame4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1ae226876884df5aa3fa0a01a318c5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Item 3. Defaults Upon Senior Securities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Item 4. Mine Safety Disclosures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Item 5. Other Information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 xml:space="preserve">Director and Officer Trading Plans or other Arrangements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Our directors and officers (as defined in Exchange Act Rule 16a-1(f)) may from time to time enter into plans or other arrangements for the purchase or sale of our shares that are intended to satisfy the affirmative defense conditions of Rule 10b5–1(c) or may represent a non-Rule 10b5-1 trading arrangement under the Exchange Act. During the quarter ended March 31, 2024, two directors entered into 10b5-1 trading arrangements. First, on March 4, 2024, after terminating a legacy 10b5-1 plan, Tami Rosen, a director and the Company’s Chief Development Officer, entered into a new 10b5-1 Plan, with an end date of November 23, 2024, to sell a maximum aggregate of 118,749 shares. Second, on March 21, 2024, Nicole Torraco, a director, entered into a 10b5-1 Plan, with an end date of November 23, 2024, to sell a maximum aggregate of 9,485 shares. Note that the maximum number of shares for these plans include shares that the directors will sell, at the time of vesting, to cover their tax liability.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Item 6.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1"/>
        <w:gridCol w:w="248"/>
        <w:gridCol w:w="249"/>
        <w:gridCol w:w="109"/>
        <w:gridCol w:w="109"/>
        <w:gridCol w:w="109"/>
        <w:gridCol w:w="2727"/>
        <w:gridCol w:w="2626"/>
        <w:gridCol w:w="3747"/>
      </w:tblGrid>
      <w:tr>
        <w:trPr/>
        <w:tc>
          <w:tcPr>
            <w:tcW w:w="28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7"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3747" w:type="dxa"/>
            <w:tcBorders/>
            <w:vAlign w:val="center"/>
          </w:tcPr>
          <w:p>
            <w:pPr>
              <w:pStyle w:val="TableContents"/>
              <w:bidi w:val="0"/>
              <w:spacing w:before="0" w:after="283"/>
              <w:jc w:val="left"/>
              <w:rPr>
                <w:sz w:val="4"/>
                <w:szCs w:val="4"/>
              </w:rPr>
            </w:pPr>
            <w:r>
              <w:rPr>
                <w:sz w:val="4"/>
                <w:szCs w:val="4"/>
              </w:rPr>
            </w:r>
          </w:p>
        </w:tc>
      </w:tr>
      <w:tr>
        <w:trPr/>
        <w:tc>
          <w:tcPr>
            <w:tcW w:w="77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18"/>
              </w:rPr>
            </w:pPr>
            <w:r>
              <w:rPr>
                <w:rFonts w:ascii="Times New Roman;sans-serif" w:hAnsi="Times New Roman;sans-serif"/>
                <w:b/>
                <w:color w:val="000000"/>
                <w:sz w:val="18"/>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7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pPr>
            <w:hyperlink r:id="rId3">
              <w:r>
                <w:rPr>
                  <w:rStyle w:val="InternetLink"/>
                  <w:rFonts w:ascii="Times New Roman;sans-serif" w:hAnsi="Times New Roman;sans-serif"/>
                  <w:b w:val="false"/>
                  <w:color w:val="0000FF"/>
                  <w:sz w:val="18"/>
                  <w:u w:val="single"/>
                </w:rPr>
                <w:t>Articles of Association of Pagaya Technologies Ltd., as amended and restated on February 15, 2024 (incorporated by reference to Exhibit 99.1 of Pagaya Technologies Ltd. Current Report on Form 6-K filed with the SEC on February 15, 2024)</w:t>
              </w:r>
            </w:hyperlink>
          </w:p>
        </w:tc>
      </w:tr>
      <w:tr>
        <w:trPr/>
        <w:tc>
          <w:tcPr>
            <w:tcW w:w="7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exhibit311ceocertification.htm">
              <w:r>
                <w:rPr>
                  <w:rStyle w:val="InternetLink"/>
                  <w:rFonts w:ascii="Times New Roman;sans-serif" w:hAnsi="Times New Roman;sans-serif"/>
                  <w:b w:val="false"/>
                  <w:color w:val="0000FF"/>
                  <w:sz w:val="18"/>
                  <w:u w:val="single"/>
                </w:rPr>
                <w:t>Certificate of Chief Executive Officer pursuant to Securities Exchange Act Rules 13a-14(a) and 15d-14(a) as adopted pursuant to §302 of the Sarbanes-Oxley Act of 2002</w:t>
              </w:r>
            </w:hyperlink>
          </w:p>
        </w:tc>
      </w:tr>
      <w:tr>
        <w:trPr/>
        <w:tc>
          <w:tcPr>
            <w:tcW w:w="77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exhibit312cfocertification.htm">
              <w:r>
                <w:rPr>
                  <w:rStyle w:val="InternetLink"/>
                  <w:rFonts w:ascii="Times New Roman;sans-serif" w:hAnsi="Times New Roman;sans-serif"/>
                  <w:b w:val="false"/>
                  <w:color w:val="0000FF"/>
                  <w:sz w:val="18"/>
                  <w:u w:val="single"/>
                </w:rPr>
                <w:t>Certificate of Chief Financial Officer pursuant to Securities Exchange Act Rules 13a-14(a) and 15d-14(a) as adopted pursuant to §302 of the Sarbanes-Oxley Act of 2002</w:t>
              </w:r>
            </w:hyperlink>
          </w:p>
        </w:tc>
      </w:tr>
      <w:tr>
        <w:trPr/>
        <w:tc>
          <w:tcPr>
            <w:tcW w:w="7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exhibit321ceocertification.htm">
              <w:r>
                <w:rPr>
                  <w:rStyle w:val="InternetLink"/>
                  <w:rFonts w:ascii="Times New Roman;sans-serif" w:hAnsi="Times New Roman;sans-serif"/>
                  <w:b w:val="false"/>
                  <w:color w:val="0000FF"/>
                  <w:sz w:val="18"/>
                  <w:u w:val="single"/>
                </w:rPr>
                <w:t>Certificate of Chief Executive Officer pursuant to 18 U.S.C. §1350, as adopted pursuant to §906 of the Sarbanes-Oxley Act of 2002</w:t>
              </w:r>
            </w:hyperlink>
          </w:p>
        </w:tc>
      </w:tr>
      <w:tr>
        <w:trPr/>
        <w:tc>
          <w:tcPr>
            <w:tcW w:w="77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exhibit322cfocertification.htm">
              <w:r>
                <w:rPr>
                  <w:rStyle w:val="InternetLink"/>
                  <w:rFonts w:ascii="Times New Roman;sans-serif" w:hAnsi="Times New Roman;sans-serif"/>
                  <w:b w:val="false"/>
                  <w:color w:val="0000FF"/>
                  <w:sz w:val="18"/>
                  <w:u w:val="single"/>
                </w:rPr>
                <w:t>Certificate of Chief Financial Officer pursuant to 18 U.S.C. §1350, as adopted pursuant to §906 of the Sarbanes-Oxley Act of 2002</w:t>
              </w:r>
            </w:hyperlink>
          </w:p>
        </w:tc>
      </w:tr>
      <w:tr>
        <w:trPr/>
        <w:tc>
          <w:tcPr>
            <w:tcW w:w="77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w:t>
            </w:r>
          </w:p>
        </w:tc>
      </w:tr>
      <w:tr>
        <w:trPr/>
        <w:tc>
          <w:tcPr>
            <w:tcW w:w="77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 Document</w:t>
            </w:r>
          </w:p>
        </w:tc>
      </w:tr>
      <w:tr>
        <w:trPr/>
        <w:tc>
          <w:tcPr>
            <w:tcW w:w="77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Calculation Linkbase Document</w:t>
            </w:r>
          </w:p>
        </w:tc>
      </w:tr>
      <w:tr>
        <w:trPr/>
        <w:tc>
          <w:tcPr>
            <w:tcW w:w="77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 Document</w:t>
            </w:r>
          </w:p>
        </w:tc>
      </w:tr>
      <w:tr>
        <w:trPr/>
        <w:tc>
          <w:tcPr>
            <w:tcW w:w="77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Label Linkbase Document</w:t>
            </w:r>
          </w:p>
        </w:tc>
      </w:tr>
      <w:tr>
        <w:trPr/>
        <w:tc>
          <w:tcPr>
            <w:tcW w:w="77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Presentation Linkbase Document</w:t>
            </w:r>
          </w:p>
        </w:tc>
      </w:tr>
      <w:tr>
        <w:trPr/>
        <w:tc>
          <w:tcPr>
            <w:tcW w:w="77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(embedded within the Inline XBRL document)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 Filed herewith </w:t>
      </w:r>
    </w:p>
    <w:p>
      <w:pPr>
        <w:pStyle w:val="TextBody"/>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18"/>
        </w:rPr>
        <w:t>Indicates a management contract or compensatory plan.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1445"/>
                <wp:effectExtent l="0" t="0" r="0" b="0"/>
                <wp:wrapNone/>
                <wp:docPr id="48" name="Frame4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1ae226876884df5aa3fa0a01a318c55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SIGNATURES</w:t>
      </w:r>
    </w:p>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Pursuant to the requirements of the Securities Exchange Act of 1934, as amended, the registrant has duly caused this report to be signed on its behalf by the undersigned thereunto duly authorized, </w:t>
      </w:r>
    </w:p>
    <w:p>
      <w:pPr>
        <w:pStyle w:val="TextBody"/>
        <w:bidi w:val="0"/>
        <w:spacing w:before="0" w:after="0"/>
        <w:jc w:val="left"/>
        <w:rPr/>
      </w:pPr>
      <w:r>
        <w:rPr/>
      </w:r>
    </w:p>
    <w:tbl>
      <w:tblPr>
        <w:tblW w:w="4978" w:type="dxa"/>
        <w:jc w:val="left"/>
        <w:tblInd w:w="0" w:type="dxa"/>
        <w:tblLayout w:type="fixed"/>
        <w:tblCellMar>
          <w:top w:w="28" w:type="dxa"/>
          <w:left w:w="28" w:type="dxa"/>
          <w:bottom w:w="28" w:type="dxa"/>
          <w:right w:w="28" w:type="dxa"/>
        </w:tblCellMar>
      </w:tblPr>
      <w:tblGrid>
        <w:gridCol w:w="525"/>
        <w:gridCol w:w="463"/>
        <w:gridCol w:w="466"/>
        <w:gridCol w:w="189"/>
        <w:gridCol w:w="189"/>
        <w:gridCol w:w="191"/>
        <w:gridCol w:w="864"/>
        <w:gridCol w:w="864"/>
        <w:gridCol w:w="1227"/>
      </w:tblGrid>
      <w:tr>
        <w:trPr/>
        <w:tc>
          <w:tcPr>
            <w:tcW w:w="52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PAGAYA TECHNOLOGIES LTD. </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Date: May 9, 2024</w:t>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 Gal Krubiner </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Name:</w:t>
            </w:r>
          </w:p>
        </w:tc>
        <w:tc>
          <w:tcPr>
            <w:tcW w:w="2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Gal Krubiner</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Title:</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Executive Officer</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Date: May 9, 2024</w:t>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 Evangelos Perros</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Name:</w:t>
            </w:r>
          </w:p>
        </w:tc>
        <w:tc>
          <w:tcPr>
            <w:tcW w:w="2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Evangelos Perros</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Title:</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1445"/>
                <wp:effectExtent l="0" t="0" r="0" b="0"/>
                <wp:wrapNone/>
                <wp:docPr id="49" name="Frame4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44</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31.1</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 Gal Krubiner, certify that: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1. I have reviewed this quarterly report on Form 10-Q of Pagaya Technologies Ltd.;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3. 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4. 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(c) 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(d) 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5. 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(b) Any fraud, whether or not material, that involves management or other employees who have a significant role in the company’s internal control over financial reporting.</w:t>
      </w:r>
    </w:p>
    <w:p>
      <w:pPr>
        <w:pStyle w:val="TextBody"/>
        <w:bidi w:val="0"/>
        <w:spacing w:before="0" w:after="0"/>
        <w:jc w:val="both"/>
        <w:rPr/>
      </w:pPr>
      <w:r>
        <w:rPr/>
      </w:r>
    </w:p>
    <w:tbl>
      <w:tblPr>
        <w:tblW w:w="3734" w:type="dxa"/>
        <w:jc w:val="left"/>
        <w:tblInd w:w="0" w:type="dxa"/>
        <w:tblLayout w:type="fixed"/>
        <w:tblCellMar>
          <w:top w:w="28" w:type="dxa"/>
          <w:left w:w="28" w:type="dxa"/>
          <w:bottom w:w="28" w:type="dxa"/>
          <w:right w:w="28" w:type="dxa"/>
        </w:tblCellMar>
      </w:tblPr>
      <w:tblGrid>
        <w:gridCol w:w="525"/>
        <w:gridCol w:w="463"/>
        <w:gridCol w:w="466"/>
        <w:gridCol w:w="135"/>
        <w:gridCol w:w="135"/>
        <w:gridCol w:w="135"/>
        <w:gridCol w:w="549"/>
        <w:gridCol w:w="549"/>
        <w:gridCol w:w="777"/>
      </w:tblGrid>
      <w:tr>
        <w:trPr/>
        <w:tc>
          <w:tcPr>
            <w:tcW w:w="52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Date: May 9, 2024</w:t>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By: </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Gal Krubiner</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Gal Krubiner</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Chief Executive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31.2</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 Evangelos Perros, certify that:</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1. I have reviewed this quarterly report on Form 10-Q of Pagaya Technologies Ltd.;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3. 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4. 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(c) 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(d) 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5. 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(b) Any fraud, whether or not material, that involves management or other employees who have a significant role in the company’s internal control over financial reporting.</w:t>
      </w:r>
    </w:p>
    <w:p>
      <w:pPr>
        <w:pStyle w:val="TextBody"/>
        <w:bidi w:val="0"/>
        <w:spacing w:before="0" w:after="0"/>
        <w:jc w:val="both"/>
        <w:rPr/>
      </w:pPr>
      <w:r>
        <w:rPr/>
      </w:r>
    </w:p>
    <w:tbl>
      <w:tblPr>
        <w:tblW w:w="3643" w:type="dxa"/>
        <w:jc w:val="left"/>
        <w:tblInd w:w="0" w:type="dxa"/>
        <w:tblLayout w:type="fixed"/>
        <w:tblCellMar>
          <w:top w:w="28" w:type="dxa"/>
          <w:left w:w="28" w:type="dxa"/>
          <w:bottom w:w="28" w:type="dxa"/>
          <w:right w:w="28" w:type="dxa"/>
        </w:tblCellMar>
      </w:tblPr>
      <w:tblGrid>
        <w:gridCol w:w="525"/>
        <w:gridCol w:w="463"/>
        <w:gridCol w:w="466"/>
        <w:gridCol w:w="135"/>
        <w:gridCol w:w="135"/>
        <w:gridCol w:w="135"/>
        <w:gridCol w:w="522"/>
        <w:gridCol w:w="522"/>
        <w:gridCol w:w="740"/>
      </w:tblGrid>
      <w:tr>
        <w:trPr/>
        <w:tc>
          <w:tcPr>
            <w:tcW w:w="52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Date: May 9, 2024</w:t>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By: </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Evangelos Perros    </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Evangelos Perros</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32.1</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Pursuant to the requirement set forth in Rule 13a-14(b) of the Securities Exchange Act of 1934, as amended, (the “Exchange Act”) and Section 1350 of Chapter 63 of Title 18 of the United States Code (18 U.S.C. §1350), Gal Krubiner, Chief Executive Officer of Pagaya Technologies Ltd. (the “Company”), hereby certifies that, to the best of his knowledge: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1. The Company’s Quarterly Report on Form 10-Q for the quarter ended March 31, 2024, to which this Certification is attached as Exhibit 32.1 (the “Quarterly Report”), fully complies with the requirements of Section 13(a) or Section 15(d) of the Exchange Act; 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2. The information contained in the Annual Report fairly presents, in all material respects, the financial condition and results of operations of the Company.</w:t>
      </w:r>
    </w:p>
    <w:tbl>
      <w:tblPr>
        <w:tblW w:w="3734" w:type="dxa"/>
        <w:jc w:val="left"/>
        <w:tblInd w:w="0" w:type="dxa"/>
        <w:tblLayout w:type="fixed"/>
        <w:tblCellMar>
          <w:top w:w="28" w:type="dxa"/>
          <w:left w:w="28" w:type="dxa"/>
          <w:bottom w:w="28" w:type="dxa"/>
          <w:right w:w="28" w:type="dxa"/>
        </w:tblCellMar>
      </w:tblPr>
      <w:tblGrid>
        <w:gridCol w:w="525"/>
        <w:gridCol w:w="463"/>
        <w:gridCol w:w="466"/>
        <w:gridCol w:w="135"/>
        <w:gridCol w:w="135"/>
        <w:gridCol w:w="135"/>
        <w:gridCol w:w="549"/>
        <w:gridCol w:w="549"/>
        <w:gridCol w:w="777"/>
      </w:tblGrid>
      <w:tr>
        <w:trPr/>
        <w:tc>
          <w:tcPr>
            <w:tcW w:w="52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Date: May 9, 2024</w:t>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By: </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Gal Krubiner</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Gal Krubiner</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Chief Executive Officer </w:t>
            </w:r>
          </w:p>
        </w:tc>
      </w:tr>
    </w:tbl>
    <w:p>
      <w:pPr>
        <w:pStyle w:val="TextBody"/>
        <w:bidi w:val="0"/>
        <w:spacing w:lineRule="auto" w:line="288"/>
        <w:jc w:val="both"/>
        <w:rPr>
          <w:rFonts w:ascii="Times New Roman;sans-serif" w:hAnsi="Times New Roman;sans-serif"/>
          <w:b w:val="false"/>
          <w:color w:val="000000"/>
          <w:sz w:val="18"/>
        </w:rPr>
      </w:pPr>
      <w:r>
        <w:rPr>
          <w:rFonts w:ascii="Times New Roman;sans-serif" w:hAnsi="Times New Roman;sans-serif"/>
          <w:b w:val="false"/>
          <w:color w:val="000000"/>
          <w:sz w:val="18"/>
        </w:rPr>
        <w:t>This certification accompanies the Form 10-Q to which it relates, is not deemed filed with the Securities and Exchange Commission and is not to be incorporated by reference into any filing of Pagaya Technologies Ltd. under the Securities Act of 1933, as amended, or the Exchange Act (whether made before or after the date of the Form 10-Q), irrespective of any general incorporation language contained in such filing.</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32.2</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Pursuant to the requirement set forth in Rule 13a-14(b) of the Securities Exchange Act of 1934, as amended, (the “Exchange Act”) and Section 1350 of Chapter 63 of Title 18 of the United States Code (18 U.S.C. §1350), Evangelos Perros, Chief Financial Officer of Pagaya Technologies Ltd. (the “Company”), hereby certifies that, to the best of his knowledge: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1. The Company’s Quarterly Report on Form 10-Q for the quarter ended March 31, 2024, to which this Certification is attached as Exhibit 32.2 (the “Quarterly Report”), fully complies with the requirements of Section 13(a) or Section 15(d) of the Exchange Act; 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2. The information contained in the Annual Report fairly presents, in all material respects, the financial condition and results of operations of the Company.</w:t>
      </w:r>
    </w:p>
    <w:tbl>
      <w:tblPr>
        <w:tblW w:w="3643" w:type="dxa"/>
        <w:jc w:val="left"/>
        <w:tblInd w:w="0" w:type="dxa"/>
        <w:tblLayout w:type="fixed"/>
        <w:tblCellMar>
          <w:top w:w="28" w:type="dxa"/>
          <w:left w:w="28" w:type="dxa"/>
          <w:bottom w:w="28" w:type="dxa"/>
          <w:right w:w="28" w:type="dxa"/>
        </w:tblCellMar>
      </w:tblPr>
      <w:tblGrid>
        <w:gridCol w:w="525"/>
        <w:gridCol w:w="463"/>
        <w:gridCol w:w="466"/>
        <w:gridCol w:w="135"/>
        <w:gridCol w:w="135"/>
        <w:gridCol w:w="135"/>
        <w:gridCol w:w="521"/>
        <w:gridCol w:w="521"/>
        <w:gridCol w:w="742"/>
      </w:tblGrid>
      <w:tr>
        <w:trPr/>
        <w:tc>
          <w:tcPr>
            <w:tcW w:w="52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Date: May 9, 2024</w:t>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By: </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Evangelos Perros</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Evangelos Perros</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Financial Officer</w:t>
            </w:r>
          </w:p>
        </w:tc>
      </w:tr>
    </w:tbl>
    <w:p>
      <w:pPr>
        <w:pStyle w:val="TextBody"/>
        <w:bidi w:val="0"/>
        <w:spacing w:lineRule="auto" w:line="288"/>
        <w:jc w:val="both"/>
        <w:rPr>
          <w:rFonts w:ascii="Times New Roman;sans-serif" w:hAnsi="Times New Roman;sans-serif"/>
          <w:b w:val="false"/>
          <w:color w:val="000000"/>
          <w:sz w:val="18"/>
        </w:rPr>
      </w:pPr>
      <w:r>
        <w:rPr>
          <w:rFonts w:ascii="Times New Roman;sans-serif" w:hAnsi="Times New Roman;sans-serif"/>
          <w:b w:val="false"/>
          <w:color w:val="000000"/>
          <w:sz w:val="18"/>
        </w:rPr>
        <w:t>This certification accompanies the Form 10-Q to which it relates, is not deemed filed with the Securities and Exchange Commission and is not to be incorporated by reference into any filing of Pagaya Technologies Ltd. under the Securities Act of 1933, as amended, or the Exchange Act (whether made before or after the date of the Form 10-Q),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83085/000188308524000009/a9116115_3.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24072</Words>
  <Characters>134662</Characters>
  <CharactersWithSpaces>157268</CharactersWithSpaces>
  <Paragraphs>2688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