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Krubiner Gal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0"/>
        <w:spacing w:after="0" w:line="336" w:lineRule="auto"/>
        <w:rPr>
          <w:sz w:val="20"/>
          <w:szCs w:val="20"/>
          <w:color w:val="auto"/>
        </w:rPr>
      </w:pPr>
      <w:r>
        <w:rPr>
          <w:rFonts w:ascii="Times New Roman" w:cs="Times New Roman" w:eastAsia="Times New Roman" w:hAnsi="Times New Roman"/>
          <w:sz w:val="17"/>
          <w:szCs w:val="17"/>
          <w:color w:val="0000FF"/>
        </w:rPr>
        <w:t>C/O PAGAYA TECHNOLOGIES LTD. 335 MADISON AVENUE,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Pagaya Technologies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PGY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16,600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15.0934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539,676</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$15.09 to $15.10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/s/Eric Watson, Attorney-in-</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63" TargetMode="External"/><Relationship Id="rId14" Type="http://schemas.openxmlformats.org/officeDocument/2006/relationships/hyperlink" Target="http://www.sec.gov/cgi-bin/browse-edgar?action=getcompany&amp;CIK=0001883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2026-06-03T15:28:25Z</dcterms:created>
  <dcterms:modified xsi:type="dcterms:W3CDTF">2026-06-03T15:28:25Z</dcterms:modified>
</cp:coreProperties>
</file>