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44147.xml.htm"/>
      <w:bookmarkStart w:id="1" w:name="kswkform4_17858441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Rosen Tami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1"/>
        <w:gridCol w:w="914"/>
        <w:gridCol w:w="784"/>
        <w:gridCol w:w="607"/>
        <w:gridCol w:w="345"/>
        <w:gridCol w:w="922"/>
        <w:gridCol w:w="438"/>
        <w:gridCol w:w="983"/>
        <w:gridCol w:w="1142"/>
        <w:gridCol w:w="984"/>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7,302</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44,846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28,181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21.9783</w:t>
            </w:r>
            <w:r>
              <w:rPr>
                <w:rFonts w:ascii="Times;serif" w:hAnsi="Times;serif"/>
                <w:color w:val="008000"/>
                <w:position w:val="7"/>
                <w:sz w:val="16"/>
                <w:sz w:val="20"/>
                <w:shd w:fill="FFFFFF" w:val="clear"/>
              </w:rPr>
              <w:t>(2)</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Prorated annual equity award for non-employee directors consisting of 2,911 Class A Ordinary Shares which are immediately vested and 4,391 restricted stock units ("RSUs") which each represent a contingent right to receive one Class A Ordinary Share. The RSUs will vest in full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$21.95 to $22.03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Watson,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82"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3733</Characters>
  <CharactersWithSpaces>4345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