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420" w:hanging="275"/>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6" w:lineRule="exact"/>
        <w:rPr>
          <w:sz w:val="24"/>
          <w:szCs w:val="24"/>
          <w:color w:val="auto"/>
        </w:rPr>
      </w:pPr>
    </w:p>
    <w:p>
      <w:pPr>
        <w:ind w:left="3420" w:right="1660" w:hanging="3275"/>
        <w:spacing w:after="0" w:line="365" w:lineRule="auto"/>
        <w:tabs>
          <w:tab w:leader="none" w:pos="4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001-41430</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Pagaya Technologies Ltd.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580" w:type="dxa"/>
            <w:vAlign w:val="bottom"/>
            <w:gridSpan w:val="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4600" w:type="dxa"/>
            <w:vAlign w:val="bottom"/>
          </w:tcPr>
          <w:p>
            <w:pPr>
              <w:jc w:val="right"/>
              <w:ind w:right="1514"/>
              <w:spacing w:after="0"/>
              <w:rPr>
                <w:sz w:val="20"/>
                <w:szCs w:val="20"/>
                <w:color w:val="auto"/>
              </w:rPr>
            </w:pPr>
            <w:r>
              <w:rPr>
                <w:rFonts w:ascii="Times New Roman" w:cs="Times New Roman" w:eastAsia="Times New Roman" w:hAnsi="Times New Roman"/>
                <w:sz w:val="18"/>
                <w:szCs w:val="18"/>
                <w:b w:val="1"/>
                <w:bCs w:val="1"/>
                <w:color w:val="auto"/>
              </w:rPr>
              <w:t>98-1704718</w:t>
            </w: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6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335 Madison Ave, 16th Floor</w:t>
            </w:r>
          </w:p>
        </w:tc>
        <w:tc>
          <w:tcPr>
            <w:tcW w:w="4600" w:type="dxa"/>
            <w:vAlign w:val="bottom"/>
          </w:tcPr>
          <w:p>
            <w:pPr>
              <w:spacing w:after="0"/>
              <w:rPr>
                <w:sz w:val="23"/>
                <w:szCs w:val="23"/>
                <w:color w:val="auto"/>
              </w:rPr>
            </w:pP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600" w:type="dxa"/>
            <w:vAlign w:val="bottom"/>
          </w:tcPr>
          <w:p>
            <w:pPr>
              <w:jc w:val="right"/>
              <w:ind w:right="1714"/>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rPr>
              <w:t>(Zip Code)</w:t>
            </w:r>
          </w:p>
        </w:tc>
      </w:tr>
      <w:tr>
        <w:trPr>
          <w:trHeight w:val="508"/>
        </w:trPr>
        <w:tc>
          <w:tcPr>
            <w:tcW w:w="3060" w:type="dxa"/>
            <w:vAlign w:val="bottom"/>
          </w:tcPr>
          <w:p>
            <w:pPr>
              <w:spacing w:after="0"/>
              <w:rPr>
                <w:sz w:val="24"/>
                <w:szCs w:val="24"/>
                <w:color w:val="auto"/>
              </w:rPr>
            </w:pPr>
          </w:p>
        </w:tc>
        <w:tc>
          <w:tcPr>
            <w:tcW w:w="3500" w:type="dxa"/>
            <w:vAlign w:val="bottom"/>
            <w:gridSpan w:val="3"/>
          </w:tcPr>
          <w:p>
            <w:pPr>
              <w:jc w:val="center"/>
              <w:ind w:left="1532"/>
              <w:spacing w:after="0"/>
              <w:rPr>
                <w:sz w:val="20"/>
                <w:szCs w:val="20"/>
                <w:color w:val="auto"/>
              </w:rPr>
            </w:pPr>
            <w:r>
              <w:rPr>
                <w:rFonts w:ascii="Times New Roman" w:cs="Times New Roman" w:eastAsia="Times New Roman" w:hAnsi="Times New Roman"/>
                <w:sz w:val="18"/>
                <w:szCs w:val="18"/>
                <w:b w:val="1"/>
                <w:bCs w:val="1"/>
                <w:color w:val="auto"/>
                <w:w w:val="99"/>
              </w:rPr>
              <w:t>(646) 710-7714</w:t>
            </w:r>
          </w:p>
        </w:tc>
        <w:tc>
          <w:tcPr>
            <w:tcW w:w="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8180" w:type="dxa"/>
            <w:vAlign w:val="bottom"/>
            <w:gridSpan w:val="5"/>
          </w:tcPr>
          <w:p>
            <w:pPr>
              <w:jc w:val="center"/>
              <w:ind w:right="2974"/>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99"/>
        </w:trPr>
        <w:tc>
          <w:tcPr>
            <w:tcW w:w="3060" w:type="dxa"/>
            <w:vAlign w:val="bottom"/>
          </w:tcPr>
          <w:p>
            <w:pPr>
              <w:spacing w:after="0"/>
              <w:rPr>
                <w:sz w:val="24"/>
                <w:szCs w:val="24"/>
                <w:color w:val="auto"/>
              </w:rPr>
            </w:pPr>
          </w:p>
        </w:tc>
        <w:tc>
          <w:tcPr>
            <w:tcW w:w="8180" w:type="dxa"/>
            <w:vAlign w:val="bottom"/>
            <w:gridSpan w:val="5"/>
          </w:tcPr>
          <w:p>
            <w:pPr>
              <w:jc w:val="center"/>
              <w:ind w:right="297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19"/>
        </w:trPr>
        <w:tc>
          <w:tcPr>
            <w:tcW w:w="306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60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Ordinary Shares, no par value</w:t>
            </w: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PGY</w:t>
            </w:r>
          </w:p>
        </w:tc>
        <w:tc>
          <w:tcPr>
            <w:tcW w:w="80" w:type="dxa"/>
            <w:vAlign w:val="bottom"/>
          </w:tcPr>
          <w:p>
            <w:pPr>
              <w:spacing w:after="0"/>
              <w:rPr>
                <w:sz w:val="17"/>
                <w:szCs w:val="17"/>
                <w:color w:val="auto"/>
              </w:rPr>
            </w:pPr>
          </w:p>
        </w:tc>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to purchase Class A Ordinary Shares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PGYWW</w:t>
            </w:r>
          </w:p>
        </w:tc>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73"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16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2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18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1"/>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18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2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firstLine="60"/>
        <w:spacing w:after="0" w:line="16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As of July 31, 2025, the registrant had 65,319,849 Class A Ordinary Shares, no par value, outstanding; 11,288,577 Class B Ordinary Shares, no par value, outstanding; and 5,000,000 Series A Preferred Shares,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40" w:type="dxa"/>
            <w:vAlign w:val="bottom"/>
          </w:tcPr>
          <w:p>
            <w:pPr>
              <w:spacing w:after="0"/>
              <w:rPr>
                <w:sz w:val="18"/>
                <w:szCs w:val="18"/>
                <w:color w:val="auto"/>
              </w:rPr>
            </w:pPr>
          </w:p>
        </w:tc>
      </w:tr>
      <w:tr>
        <w:trPr>
          <w:trHeight w:val="475"/>
        </w:trPr>
        <w:tc>
          <w:tcPr>
            <w:tcW w:w="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FF"/>
            </w:tcBorders>
            <w:gridSpan w:val="8"/>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Part I - Financial Information</w:t>
            </w:r>
          </w:p>
        </w:tc>
        <w:tc>
          <w:tcPr>
            <w:tcW w:w="8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w:t>
            </w:r>
          </w:p>
        </w:tc>
      </w:tr>
      <w:tr>
        <w:trPr>
          <w:trHeight w:val="189"/>
        </w:trPr>
        <w:tc>
          <w:tcPr>
            <w:tcW w:w="20" w:type="dxa"/>
            <w:vAlign w:val="bottom"/>
          </w:tcPr>
          <w:p>
            <w:pPr>
              <w:spacing w:after="0"/>
              <w:rPr>
                <w:sz w:val="16"/>
                <w:szCs w:val="16"/>
                <w:color w:val="auto"/>
              </w:rPr>
            </w:pPr>
          </w:p>
        </w:tc>
        <w:tc>
          <w:tcPr>
            <w:tcW w:w="10580" w:type="dxa"/>
            <w:vAlign w:val="bottom"/>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20" w:type="dxa"/>
            <w:vAlign w:val="bottom"/>
            <w:shd w:val="clear" w:color="auto" w:fill="CCEEFF"/>
          </w:tcPr>
          <w:p>
            <w:pPr>
              <w:spacing w:after="0"/>
              <w:rPr>
                <w:sz w:val="15"/>
                <w:szCs w:val="15"/>
                <w:color w:val="auto"/>
              </w:rPr>
            </w:pPr>
          </w:p>
        </w:tc>
        <w:tc>
          <w:tcPr>
            <w:tcW w:w="1058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Condensed Consolidated Balance Sheets</w:t>
            </w:r>
          </w:p>
        </w:tc>
        <w:tc>
          <w:tcPr>
            <w:tcW w:w="6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80" w:type="dxa"/>
            <w:vAlign w:val="bottom"/>
            <w:gridSpan w:val="19"/>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3</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0000FF"/>
            </w:tcBorders>
            <w:gridSpan w:val="16"/>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Comprehensive Income (Loss)</w:t>
            </w:r>
          </w:p>
        </w:tc>
        <w:tc>
          <w:tcPr>
            <w:tcW w:w="17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w:t>
            </w:r>
          </w:p>
        </w:tc>
      </w:tr>
      <w:tr>
        <w:trPr>
          <w:trHeight w:val="175"/>
        </w:trPr>
        <w:tc>
          <w:tcPr>
            <w:tcW w:w="20" w:type="dxa"/>
            <w:vAlign w:val="bottom"/>
            <w:tcBorders>
              <w:top w:val="single" w:sz="8" w:color="CCEEFF"/>
            </w:tcBorders>
          </w:tcPr>
          <w:p>
            <w:pPr>
              <w:spacing w:after="0"/>
              <w:rPr>
                <w:sz w:val="15"/>
                <w:szCs w:val="15"/>
                <w:color w:val="auto"/>
              </w:rPr>
            </w:pPr>
          </w:p>
        </w:tc>
        <w:tc>
          <w:tcPr>
            <w:tcW w:w="7760" w:type="dxa"/>
            <w:vAlign w:val="bottom"/>
            <w:tcBorders>
              <w:top w:val="single" w:sz="8" w:color="CCEEFF"/>
              <w:bottom w:val="single" w:sz="8" w:color="0000FF"/>
            </w:tcBorders>
            <w:gridSpan w:val="18"/>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Changes in Redeemable Convertible Preferred Shares and Shareholders’ Equity</w:t>
            </w:r>
          </w:p>
        </w:tc>
        <w:tc>
          <w:tcPr>
            <w:tcW w:w="28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w:t>
            </w: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6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7</w:t>
            </w:r>
          </w:p>
        </w:tc>
      </w:tr>
      <w:tr>
        <w:trPr>
          <w:trHeight w:val="176"/>
        </w:trPr>
        <w:tc>
          <w:tcPr>
            <w:tcW w:w="20" w:type="dxa"/>
            <w:vAlign w:val="bottom"/>
            <w:tcBorders>
              <w:top w:val="single" w:sz="8" w:color="CCEEFF"/>
            </w:tcBorders>
          </w:tcPr>
          <w:p>
            <w:pPr>
              <w:spacing w:after="0"/>
              <w:rPr>
                <w:sz w:val="15"/>
                <w:szCs w:val="15"/>
                <w:color w:val="auto"/>
              </w:rPr>
            </w:pPr>
          </w:p>
        </w:tc>
        <w:tc>
          <w:tcPr>
            <w:tcW w:w="3340" w:type="dxa"/>
            <w:vAlign w:val="bottom"/>
            <w:tcBorders>
              <w:top w:val="single" w:sz="8" w:color="0000FF"/>
            </w:tcBorders>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724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0000FF"/>
            </w:tcBorders>
            <w:gridSpan w:val="17"/>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260" w:type="dxa"/>
            <w:vAlign w:val="bottom"/>
            <w:tcBorders>
              <w:bottom w:val="single" w:sz="8" w:color="CCEEFF"/>
            </w:tcBorders>
            <w:gridSpan w:val="2"/>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30</w:t>
            </w:r>
          </w:p>
        </w:tc>
      </w:tr>
      <w:tr>
        <w:trPr>
          <w:trHeight w:val="189"/>
        </w:trPr>
        <w:tc>
          <w:tcPr>
            <w:tcW w:w="20" w:type="dxa"/>
            <w:vAlign w:val="bottom"/>
          </w:tcPr>
          <w:p>
            <w:pPr>
              <w:spacing w:after="0"/>
              <w:rPr>
                <w:sz w:val="16"/>
                <w:szCs w:val="16"/>
                <w:color w:val="auto"/>
              </w:rPr>
            </w:pPr>
          </w:p>
        </w:tc>
        <w:tc>
          <w:tcPr>
            <w:tcW w:w="10580" w:type="dxa"/>
            <w:vAlign w:val="bottom"/>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50</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0000FF"/>
            </w:tcBorders>
            <w:gridSpan w:val="9"/>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4. Controls and Procedures</w:t>
            </w:r>
          </w:p>
        </w:tc>
        <w:tc>
          <w:tcPr>
            <w:tcW w:w="8480" w:type="dxa"/>
            <w:vAlign w:val="bottom"/>
            <w:tcBorders>
              <w:bottom w:val="single" w:sz="8" w:color="CCEEFF"/>
            </w:tcBorders>
            <w:gridSpan w:val="10"/>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50</w:t>
            </w:r>
          </w:p>
        </w:tc>
      </w:tr>
      <w:tr>
        <w:trPr>
          <w:trHeight w:val="189"/>
        </w:trPr>
        <w:tc>
          <w:tcPr>
            <w:tcW w:w="20" w:type="dxa"/>
            <w:vAlign w:val="bottom"/>
          </w:tcPr>
          <w:p>
            <w:pPr>
              <w:spacing w:after="0"/>
              <w:rPr>
                <w:sz w:val="16"/>
                <w:szCs w:val="16"/>
                <w:color w:val="auto"/>
              </w:rPr>
            </w:pPr>
          </w:p>
        </w:tc>
        <w:tc>
          <w:tcPr>
            <w:tcW w:w="10580" w:type="dxa"/>
            <w:vAlign w:val="bottom"/>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Part II - Other Information</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51</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w w:val="99"/>
              </w:rPr>
              <w:t>Item 1. Legal Proceedings</w:t>
            </w:r>
          </w:p>
        </w:tc>
        <w:tc>
          <w:tcPr>
            <w:tcW w:w="900" w:type="dxa"/>
            <w:vAlign w:val="bottom"/>
            <w:tcBorders>
              <w:bottom w:val="single" w:sz="8" w:color="CCEEFF"/>
            </w:tcBorders>
            <w:gridSpan w:val="5"/>
            <w:shd w:val="clear" w:color="auto" w:fill="CCEEFF"/>
          </w:tcPr>
          <w:p>
            <w:pPr>
              <w:spacing w:after="0"/>
              <w:rPr>
                <w:sz w:val="19"/>
                <w:szCs w:val="19"/>
                <w:color w:val="auto"/>
              </w:rPr>
            </w:pPr>
          </w:p>
        </w:tc>
        <w:tc>
          <w:tcPr>
            <w:tcW w:w="1820" w:type="dxa"/>
            <w:vAlign w:val="bottom"/>
            <w:tcBorders>
              <w:bottom w:val="single" w:sz="8" w:color="CCEEFF"/>
            </w:tcBorders>
            <w:gridSpan w:val="5"/>
            <w:shd w:val="clear" w:color="auto" w:fill="CCEEFF"/>
          </w:tcPr>
          <w:p>
            <w:pPr>
              <w:spacing w:after="0"/>
              <w:rPr>
                <w:sz w:val="19"/>
                <w:szCs w:val="19"/>
                <w:color w:val="auto"/>
              </w:rPr>
            </w:pPr>
          </w:p>
        </w:tc>
        <w:tc>
          <w:tcPr>
            <w:tcW w:w="6160" w:type="dxa"/>
            <w:vAlign w:val="bottom"/>
            <w:tcBorders>
              <w:bottom w:val="single" w:sz="8" w:color="CCEEFF"/>
            </w:tcBorders>
            <w:gridSpan w:val="4"/>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89"/>
        </w:trPr>
        <w:tc>
          <w:tcPr>
            <w:tcW w:w="20" w:type="dxa"/>
            <w:vAlign w:val="bottom"/>
            <w:tcBorders>
              <w:top w:val="single" w:sz="8" w:color="CCEEFF"/>
            </w:tcBorders>
          </w:tcPr>
          <w:p>
            <w:pPr>
              <w:spacing w:after="0"/>
              <w:rPr>
                <w:sz w:val="16"/>
                <w:szCs w:val="16"/>
                <w:color w:val="auto"/>
              </w:rPr>
            </w:pPr>
          </w:p>
        </w:tc>
        <w:tc>
          <w:tcPr>
            <w:tcW w:w="10580" w:type="dxa"/>
            <w:vAlign w:val="bottom"/>
            <w:tcBorders>
              <w:top w:val="single" w:sz="8" w:color="CCEEFF"/>
            </w:tcBorders>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Item 1A. Risk Factors</w:t>
            </w:r>
          </w:p>
        </w:tc>
        <w:tc>
          <w:tcPr>
            <w:tcW w:w="640" w:type="dxa"/>
            <w:vAlign w:val="bottom"/>
            <w:tcBorders>
              <w:top w:val="single" w:sz="8" w:color="CCEEFF"/>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51</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420" w:type="dxa"/>
            <w:vAlign w:val="bottom"/>
            <w:tcBorders>
              <w:bottom w:val="single" w:sz="8" w:color="0000FF"/>
            </w:tcBorders>
            <w:gridSpan w:val="1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6160" w:type="dxa"/>
            <w:vAlign w:val="bottom"/>
            <w:tcBorders>
              <w:bottom w:val="single" w:sz="8" w:color="CCEEFF"/>
            </w:tcBorders>
            <w:gridSpan w:val="4"/>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51</w:t>
            </w:r>
          </w:p>
        </w:tc>
      </w:tr>
      <w:tr>
        <w:trPr>
          <w:trHeight w:val="189"/>
        </w:trPr>
        <w:tc>
          <w:tcPr>
            <w:tcW w:w="20" w:type="dxa"/>
            <w:vAlign w:val="bottom"/>
          </w:tcPr>
          <w:p>
            <w:pPr>
              <w:spacing w:after="0"/>
              <w:rPr>
                <w:sz w:val="16"/>
                <w:szCs w:val="16"/>
                <w:color w:val="auto"/>
              </w:rPr>
            </w:pPr>
          </w:p>
        </w:tc>
        <w:tc>
          <w:tcPr>
            <w:tcW w:w="2600" w:type="dxa"/>
            <w:vAlign w:val="bottom"/>
            <w:tcBorders>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Item 3. Defaults Upon Senior Securities</w:t>
            </w:r>
          </w:p>
        </w:tc>
        <w:tc>
          <w:tcPr>
            <w:tcW w:w="7980" w:type="dxa"/>
            <w:vAlign w:val="bottom"/>
            <w:gridSpan w:val="9"/>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0000FF"/>
            </w:tcBorders>
            <w:gridSpan w:val="9"/>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4. Mine Safety Disclosures</w:t>
            </w:r>
          </w:p>
        </w:tc>
        <w:tc>
          <w:tcPr>
            <w:tcW w:w="8480" w:type="dxa"/>
            <w:vAlign w:val="bottom"/>
            <w:tcBorders>
              <w:bottom w:val="single" w:sz="8" w:color="CCEEFF"/>
            </w:tcBorders>
            <w:gridSpan w:val="10"/>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89"/>
        </w:trPr>
        <w:tc>
          <w:tcPr>
            <w:tcW w:w="20" w:type="dxa"/>
            <w:vAlign w:val="bottom"/>
            <w:tcBorders>
              <w:top w:val="single" w:sz="8" w:color="CCEEFF"/>
            </w:tcBorders>
          </w:tcPr>
          <w:p>
            <w:pPr>
              <w:spacing w:after="0"/>
              <w:rPr>
                <w:sz w:val="16"/>
                <w:szCs w:val="16"/>
                <w:color w:val="auto"/>
              </w:rPr>
            </w:pPr>
          </w:p>
        </w:tc>
        <w:tc>
          <w:tcPr>
            <w:tcW w:w="10580" w:type="dxa"/>
            <w:vAlign w:val="bottom"/>
            <w:tcBorders>
              <w:top w:val="single" w:sz="8" w:color="CCEEFF"/>
            </w:tcBorders>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Item 5. Other Information</w:t>
            </w:r>
          </w:p>
        </w:tc>
        <w:tc>
          <w:tcPr>
            <w:tcW w:w="640" w:type="dxa"/>
            <w:vAlign w:val="bottom"/>
            <w:tcBorders>
              <w:top w:val="single" w:sz="8" w:color="CCEEFF"/>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52</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580" w:type="dxa"/>
            <w:vAlign w:val="bottom"/>
            <w:gridSpan w:val="19"/>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6. Exhibits</w:t>
            </w:r>
          </w:p>
        </w:tc>
        <w:tc>
          <w:tcPr>
            <w:tcW w:w="6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52</w:t>
            </w:r>
          </w:p>
        </w:tc>
      </w:tr>
      <w:tr>
        <w:trPr>
          <w:trHeight w:val="189"/>
        </w:trPr>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Signatures</w:t>
            </w:r>
          </w:p>
        </w:tc>
        <w:tc>
          <w:tcPr>
            <w:tcW w:w="360" w:type="dxa"/>
            <w:vAlign w:val="bottom"/>
            <w:tcBorders>
              <w:top w:val="single" w:sz="8" w:color="0000FF"/>
            </w:tcBorders>
          </w:tcPr>
          <w:p>
            <w:pPr>
              <w:spacing w:after="0"/>
              <w:rPr>
                <w:sz w:val="16"/>
                <w:szCs w:val="16"/>
                <w:color w:val="auto"/>
              </w:rPr>
            </w:pPr>
          </w:p>
        </w:tc>
        <w:tc>
          <w:tcPr>
            <w:tcW w:w="9540" w:type="dxa"/>
            <w:vAlign w:val="bottom"/>
            <w:tcBorders>
              <w:top w:val="single" w:sz="8" w:color="CCEEFF"/>
            </w:tcBorders>
            <w:gridSpan w:val="17"/>
          </w:tcPr>
          <w:p>
            <w:pPr>
              <w:spacing w:after="0"/>
              <w:rPr>
                <w:sz w:val="16"/>
                <w:szCs w:val="16"/>
                <w:color w:val="auto"/>
              </w:rPr>
            </w:pP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This Quarterly Report contains forward-looking statements that involve substantial risks and uncertainties. The Private Securities Litigation Reform Act of 1995, or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Pagaya desires to take advantage of the safe harbor provisions of the PSLRA and is including this cautionary statement in connection with this safe harbor legislation. All statements other than statements of historical facts contained in this Quarterly Report,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178"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implement business plans and other expectations;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continuation of or changes in the short-term and long-term interest rate environment;</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market or political conditions;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cost of capital, including the financing of risk retention investments;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service our debt financing and meet associated covenants;</w:t>
      </w:r>
    </w:p>
    <w:p>
      <w:pPr>
        <w:spacing w:after="0" w:line="2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maintain a diverse and robust funding network;</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fair value changes in our risk retention investments in our Financing Vehicles;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uncertain future prospects and rate of growth due to our relatively limited operating history;</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technology to consistently meet return expectations of asset investors in Financing Vehicles;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improve, operate and implement our AI technology, including as we expand into new asset classes;</w:t>
      </w:r>
    </w:p>
    <w:p>
      <w:pPr>
        <w:spacing w:after="0" w:line="248"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spacing w:after="0" w:line="20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difficulties in retaining our current management team and other key employees and independent contractors, including highly-skilled technical experts;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our future financial performance;</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political, legal and regulatory framework related to AI technology, machine learning; financial institutions and consumer protection;</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health epidemics, natural disasters, acts of terrorism or other catastrophic events;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the potential benefits of past or future acquisitions;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related to our operations in Israel;</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data, security and privacy;</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accounting principles and guidelines;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maintain effective internal controls;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maintain the listing of our securities on Nasdaq;</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of our securities has been and may continue to be volatile;</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costs or expenses;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issuances, sales or resales of our Class A Ordinary Shares;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active public trading market for our Class A Ordinary Shares may not be sustained; and</w:t>
      </w:r>
    </w:p>
    <w:p>
      <w:pPr>
        <w:spacing w:after="0" w:line="24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matters described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our Annual Report on Form 10-K.</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caution you not to rely on forward-looking statements, which reflect current beliefs and are based on information currently available as of the date a forward-looking statement is made. Forward-looking statements set forth herein speak only as of the date of this Quarterly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Market, ranking and industry data used throughout this Quarterly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our Annual Report on Form 10-K, which was filed with the SEC on March 12, 2025, and “</w:t>
      </w:r>
      <w:r>
        <w:rPr>
          <w:rFonts w:ascii="Times New Roman" w:cs="Times New Roman" w:eastAsia="Times New Roman" w:hAnsi="Times New Roman"/>
          <w:sz w:val="16"/>
          <w:szCs w:val="16"/>
          <w:i w:val="1"/>
          <w:iCs w:val="1"/>
          <w:color w:val="auto"/>
        </w:rPr>
        <w:t>Item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2—Management’s Discussion and Analysis of Financial Condition and Results of Operations</w:t>
      </w:r>
      <w:r>
        <w:rPr>
          <w:rFonts w:ascii="Times New Roman" w:cs="Times New Roman" w:eastAsia="Times New Roman" w:hAnsi="Times New Roman"/>
          <w:sz w:val="16"/>
          <w:szCs w:val="16"/>
          <w:color w:val="auto"/>
        </w:rPr>
        <w: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5"/>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182,986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187,921</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23,845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18,595</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Fees and other receivables (1)(2)</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97,932</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Investments in loans and securities (1)</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22,087</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expenses and other current assets (2)</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24,944</w:t>
            </w:r>
          </w:p>
        </w:tc>
      </w:tr>
      <w:tr>
        <w:trPr>
          <w:trHeight w:val="163"/>
        </w:trPr>
        <w:tc>
          <w:tcPr>
            <w:tcW w:w="82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362,473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351,479</w:t>
            </w:r>
          </w:p>
        </w:tc>
      </w:tr>
      <w:tr>
        <w:trPr>
          <w:trHeight w:val="18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35,203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20,002</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Fees and other receivables (2)</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29,182</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Investments in loans and securities</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848,542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756,322</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method and other investments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21,933</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Right-of-use assets</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36,876</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34,449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37,974</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23,062</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Intangible assets, net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12,821</w:t>
            </w:r>
          </w:p>
        </w:tc>
      </w:tr>
      <w:tr>
        <w:trPr>
          <w:trHeight w:val="17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w:t>
            </w:r>
          </w:p>
        </w:tc>
      </w:tr>
      <w:tr>
        <w:trPr>
          <w:trHeight w:val="16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1,036,570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939,593</w:t>
            </w:r>
          </w:p>
        </w:tc>
      </w:tr>
      <w:tr>
        <w:trPr>
          <w:trHeight w:val="175"/>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1,399,043</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1,291,072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3"/>
        </w:trPr>
        <w:tc>
          <w:tcPr>
            <w:tcW w:w="82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7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45,362</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maturities of operating lease liabilities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6,453</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17,750</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Secured borrowing</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109,079</w:t>
            </w:r>
          </w:p>
        </w:tc>
      </w:tr>
      <w:tr>
        <w:trPr>
          <w:trHeight w:val="17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Income taxes payable</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15,303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9,858</w:t>
            </w:r>
          </w:p>
        </w:tc>
      </w:tr>
      <w:tr>
        <w:trPr>
          <w:trHeight w:val="17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254,473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195,494</w:t>
            </w:r>
          </w:p>
        </w:tc>
      </w:tr>
      <w:tr>
        <w:trPr>
          <w:trHeight w:val="17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Warrant liability</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Long-term debt</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296,797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303,567</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Exchangeable notes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147,526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146,342</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Secured borrowing</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67,010</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29,153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30,611</w:t>
            </w:r>
          </w:p>
        </w:tc>
      </w:tr>
      <w:tr>
        <w:trPr>
          <w:trHeight w:val="17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Long-term tax and deferred tax liabilities, net</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26,253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31,359</w:t>
            </w:r>
          </w:p>
        </w:tc>
      </w:tr>
      <w:tr>
        <w:trPr>
          <w:trHeight w:val="17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602,341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579,782</w:t>
            </w:r>
          </w:p>
        </w:tc>
      </w:tr>
      <w:tr>
        <w:trPr>
          <w:trHeight w:val="163"/>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856,814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775,276</w:t>
            </w:r>
          </w:p>
        </w:tc>
      </w:tr>
      <w:tr>
        <w:trPr>
          <w:trHeight w:val="136"/>
        </w:trPr>
        <w:tc>
          <w:tcPr>
            <w:tcW w:w="828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Redeemable convertible preferred shares, no par value, 6,666,666 shares authorized, 5,000,000 shares issued and outstanding as of June 30, 2025 and</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December 31, 2024; aggregate liquidation preference of $150,000 as of June 30, 2025 and December 31, 2024.</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r>
      <w:tr>
        <w:trPr>
          <w:trHeight w:val="17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36"/>
        </w:trPr>
        <w:tc>
          <w:tcPr>
            <w:tcW w:w="828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Class A ordinary shares, no par value, 666,666,666 shares authorized, 64,873,392 and 61,227,672 shares issued and outstanding as of June 30, 2025 and</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8280" w:type="dxa"/>
            <w:vAlign w:val="bottom"/>
          </w:tcPr>
          <w:p>
            <w:pPr>
              <w:ind w:left="240"/>
              <w:spacing w:after="0" w:line="131" w:lineRule="exact"/>
              <w:rPr>
                <w:sz w:val="20"/>
                <w:szCs w:val="20"/>
                <w:color w:val="auto"/>
              </w:rPr>
            </w:pPr>
            <w:r>
              <w:rPr>
                <w:rFonts w:ascii="Times New Roman" w:cs="Times New Roman" w:eastAsia="Times New Roman" w:hAnsi="Times New Roman"/>
                <w:sz w:val="13"/>
                <w:szCs w:val="13"/>
                <w:color w:val="auto"/>
              </w:rPr>
              <w:t>Class B ordinary shares, no par value, 166,666,666 shares authorized, 11,288,577 and 12,652,310 shares issued and outstanding as of June 30, 2025 and</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2"/>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2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1,319,312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1,282,022</w:t>
            </w:r>
          </w:p>
        </w:tc>
      </w:tr>
      <w:tr>
        <w:trPr>
          <w:trHeight w:val="170"/>
        </w:trPr>
        <w:tc>
          <w:tcPr>
            <w:tcW w:w="82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(33,065)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(11,488)</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Accumulated deficit</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(919,495)</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(944,043)</w:t>
            </w:r>
          </w:p>
        </w:tc>
      </w:tr>
      <w:tr>
        <w:trPr>
          <w:trHeight w:val="163"/>
        </w:trPr>
        <w:tc>
          <w:tcPr>
            <w:tcW w:w="8280" w:type="dxa"/>
            <w:vAlign w:val="bottom"/>
          </w:tcPr>
          <w:p>
            <w:pPr>
              <w:ind w:left="460"/>
              <w:spacing w:after="0" w:line="144" w:lineRule="exact"/>
              <w:rPr>
                <w:sz w:val="20"/>
                <w:szCs w:val="20"/>
                <w:color w:val="auto"/>
              </w:rPr>
            </w:pPr>
            <w:r>
              <w:rPr>
                <w:rFonts w:ascii="Times New Roman" w:cs="Times New Roman" w:eastAsia="Times New Roman" w:hAnsi="Times New Roman"/>
                <w:sz w:val="13"/>
                <w:szCs w:val="13"/>
                <w:color w:val="auto"/>
              </w:rPr>
              <w:t>Total Pagaya Technologies Ltd. shareholders’ equity</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366,752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326,491</w:t>
            </w:r>
          </w:p>
        </w:tc>
      </w:tr>
      <w:tr>
        <w:trPr>
          <w:trHeight w:val="18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101,227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115,055</w:t>
            </w:r>
          </w:p>
        </w:tc>
      </w:tr>
      <w:tr>
        <w:trPr>
          <w:trHeight w:val="163"/>
        </w:trPr>
        <w:tc>
          <w:tcPr>
            <w:tcW w:w="8280" w:type="dxa"/>
            <w:vAlign w:val="bottom"/>
            <w:tcBorders>
              <w:bottom w:val="single" w:sz="8" w:color="CCEEFF"/>
            </w:tcBorders>
          </w:tcPr>
          <w:p>
            <w:pPr>
              <w:ind w:left="460"/>
              <w:spacing w:after="0" w:line="144" w:lineRule="exact"/>
              <w:rPr>
                <w:sz w:val="20"/>
                <w:szCs w:val="20"/>
                <w:color w:val="auto"/>
              </w:rPr>
            </w:pPr>
            <w:r>
              <w:rPr>
                <w:rFonts w:ascii="Times New Roman" w:cs="Times New Roman" w:eastAsia="Times New Roman" w:hAnsi="Times New Roman"/>
                <w:sz w:val="13"/>
                <w:szCs w:val="13"/>
                <w:color w:val="auto"/>
              </w:rPr>
              <w:t>Total shareholders’ equity</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467,979</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441,546</w:t>
            </w:r>
          </w:p>
        </w:tc>
      </w:tr>
      <w:tr>
        <w:trPr>
          <w:trHeight w:val="20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Redeemable Convertible Preferred Shares, and Shareholders’ Equity</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1,399,043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1,291,072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340" w:firstLine="8"/>
        <w:spacing w:after="0" w:line="249" w:lineRule="auto"/>
        <w:tabs>
          <w:tab w:leader="none" w:pos="17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Accrued interest receivable of $14.3 million, previously reported within “Fee and other receivables” as of December 31, 2024, has been reclassified to “Investment in loans and securities” to conform to the current period’s presentation.</w:t>
      </w:r>
    </w:p>
    <w:p>
      <w:pPr>
        <w:ind w:left="180" w:hanging="172"/>
        <w:spacing w:after="0"/>
        <w:tabs>
          <w:tab w:leader="none" w:pos="1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Note 9 for additional information regarding the transactions with related parties.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(UNAUDITED)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24"/>
                <w:szCs w:val="24"/>
                <w:color w:val="auto"/>
              </w:rPr>
            </w:pPr>
          </w:p>
        </w:tc>
        <w:tc>
          <w:tcPr>
            <w:tcW w:w="216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from fees (1)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317,714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479,598</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(loss) income, net (2)</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326,398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495,620</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Production costs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290,483</w:t>
            </w:r>
          </w:p>
        </w:tc>
        <w:tc>
          <w:tcPr>
            <w:tcW w:w="0" w:type="dxa"/>
            <w:vAlign w:val="bottom"/>
          </w:tcPr>
          <w:p>
            <w:pPr>
              <w:spacing w:after="0"/>
              <w:rPr>
                <w:sz w:val="1"/>
                <w:szCs w:val="1"/>
                <w:color w:val="auto"/>
              </w:rPr>
            </w:pPr>
          </w:p>
        </w:tc>
      </w:tr>
      <w:tr>
        <w:trPr>
          <w:trHeight w:val="213"/>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0" w:type="dxa"/>
            <w:vAlign w:val="bottom"/>
          </w:tcPr>
          <w:p>
            <w:pPr>
              <w:spacing w:after="0"/>
              <w:rPr>
                <w:sz w:val="1"/>
                <w:szCs w:val="1"/>
                <w:color w:val="auto"/>
              </w:rPr>
            </w:pPr>
          </w:p>
        </w:tc>
      </w:tr>
      <w:tr>
        <w:trPr>
          <w:trHeight w:val="213"/>
        </w:trPr>
        <w:tc>
          <w:tcPr>
            <w:tcW w:w="65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127,517</w:t>
            </w: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482,903</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expenses, net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(107,543)</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(94,826)</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Including Noncontrolling Interests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(114,341)</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0" w:type="dxa"/>
            <w:vAlign w:val="bottom"/>
          </w:tcPr>
          <w:p>
            <w:pPr>
              <w:spacing w:after="0"/>
              <w:rPr>
                <w:sz w:val="1"/>
                <w:szCs w:val="1"/>
                <w:color w:val="auto"/>
              </w:rPr>
            </w:pP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Pagaya Technologies Ltd.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Pagaya Technologies Ltd.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Undistributed earnings allocated to preferred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attributed to Pagaya Technologies Ltd.’s ordinary shares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 attributable to Pagaya Technologies Ltd.:</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76,873,529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71,765,884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76,347,801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68,113,860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79,667,635</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71,765,884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78,301,110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68,113,860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See Note 9 for additional information regarding the transactions with related parties.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Includes income from proprietary investments.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545"/>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77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 (UNAUDITED)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2"/>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89"/>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24"/>
                <w:szCs w:val="24"/>
                <w:color w:val="auto"/>
              </w:rPr>
            </w:pPr>
          </w:p>
        </w:tc>
        <w:tc>
          <w:tcPr>
            <w:tcW w:w="216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16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Including Noncontrolling Interests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(114,341)</w:t>
            </w:r>
          </w:p>
        </w:tc>
      </w:tr>
      <w:tr>
        <w:trPr>
          <w:trHeight w:val="21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loss on securities available for sale, net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(67,094)</w:t>
            </w: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Including Noncontrolling Interests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(181,435)</w:t>
            </w:r>
          </w:p>
        </w:tc>
      </w:tr>
      <w:tr>
        <w:trPr>
          <w:trHeight w:val="216"/>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(13,933)</w:t>
            </w: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Pagaya Technologies Ltd.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(121,556)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(167,502)</w:t>
            </w:r>
          </w:p>
        </w:tc>
      </w:tr>
      <w:tr>
        <w:trPr>
          <w:trHeight w:val="21"/>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32" w:lineRule="exact"/>
        <w:rPr>
          <w:sz w:val="20"/>
          <w:szCs w:val="20"/>
          <w:color w:val="auto"/>
        </w:rPr>
      </w:pPr>
    </w:p>
    <w:p>
      <w:pPr>
        <w:ind w:right="540"/>
        <w:spacing w:after="0" w:line="272" w:lineRule="auto"/>
        <w:rPr>
          <w:sz w:val="20"/>
          <w:szCs w:val="20"/>
          <w:color w:val="auto"/>
        </w:rPr>
      </w:pPr>
      <w:r>
        <w:rPr>
          <w:rFonts w:ascii="Times New Roman" w:cs="Times New Roman" w:eastAsia="Times New Roman" w:hAnsi="Times New Roman"/>
          <w:sz w:val="16"/>
          <w:szCs w:val="16"/>
          <w:b w:val="1"/>
          <w:bCs w:val="1"/>
          <w:color w:val="auto"/>
        </w:rPr>
        <w:t>CONDENSED CONSOLIDATED STATEMENT OF CHANGES IN REDEEMABLE CONVERTIBLE PREFERRED SHARES AND SHAREHOLDERS’ EQUITY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 Pagaya</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72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6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Technologies</w:t>
            </w:r>
          </w:p>
        </w:tc>
        <w:tc>
          <w:tcPr>
            <w:tcW w:w="100" w:type="dxa"/>
            <w:vAlign w:val="bottom"/>
          </w:tcPr>
          <w:p>
            <w:pPr>
              <w:spacing w:after="0"/>
              <w:rPr>
                <w:sz w:val="14"/>
                <w:szCs w:val="14"/>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4"/>
                <w:szCs w:val="14"/>
                <w:color w:val="auto"/>
              </w:rPr>
            </w:pPr>
          </w:p>
        </w:tc>
        <w:tc>
          <w:tcPr>
            <w:tcW w:w="760" w:type="dxa"/>
            <w:vAlign w:val="bottom"/>
            <w:vMerge w:val="restart"/>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720" w:type="dxa"/>
            <w:vAlign w:val="bottom"/>
            <w:tcBorders>
              <w:right w:val="single" w:sz="8" w:color="auto"/>
            </w:tcBorders>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Preferred Shares</w:t>
            </w:r>
          </w:p>
        </w:tc>
        <w:tc>
          <w:tcPr>
            <w:tcW w:w="60" w:type="dxa"/>
            <w:vAlign w:val="bottom"/>
          </w:tcPr>
          <w:p>
            <w:pPr>
              <w:spacing w:after="0"/>
              <w:rPr>
                <w:sz w:val="11"/>
                <w:szCs w:val="11"/>
                <w:color w:val="auto"/>
              </w:rPr>
            </w:pPr>
          </w:p>
        </w:tc>
        <w:tc>
          <w:tcPr>
            <w:tcW w:w="160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(Class A and Class B)</w:t>
            </w: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Ltd.</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2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86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940" w:type="dxa"/>
            <w:vAlign w:val="bottom"/>
            <w:gridSpan w:val="2"/>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34"/>
        </w:trPr>
        <w:tc>
          <w:tcPr>
            <w:tcW w:w="2080" w:type="dxa"/>
            <w:vAlign w:val="bottom"/>
          </w:tcPr>
          <w:p>
            <w:pPr>
              <w:spacing w:after="0"/>
              <w:rPr>
                <w:sz w:val="2"/>
                <w:szCs w:val="2"/>
                <w:color w:val="auto"/>
              </w:rPr>
            </w:pP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right w:val="single" w:sz="8" w:color="auto"/>
            </w:tcBorders>
            <w:vMerge w:val="restart"/>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right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March 31,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75,430,952</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1,299,010</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(936,150)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335,490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105,313</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440,803</w:t>
            </w:r>
          </w:p>
        </w:tc>
        <w:tc>
          <w:tcPr>
            <w:tcW w:w="0" w:type="dxa"/>
            <w:vAlign w:val="bottom"/>
          </w:tcPr>
          <w:p>
            <w:pPr>
              <w:spacing w:after="0"/>
              <w:rPr>
                <w:sz w:val="1"/>
                <w:szCs w:val="1"/>
                <w:color w:val="auto"/>
              </w:rPr>
            </w:pPr>
          </w:p>
        </w:tc>
      </w:tr>
      <w:tr>
        <w:trPr>
          <w:trHeight w:val="116"/>
        </w:trPr>
        <w:tc>
          <w:tcPr>
            <w:tcW w:w="20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126,638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604,379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19,184</w:t>
            </w: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(5,708)</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16,563</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76,161,969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1,319,312</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(33,065)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(919,495)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366,752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101,227</w:t>
            </w:r>
          </w:p>
        </w:tc>
        <w:tc>
          <w:tcPr>
            <w:tcW w:w="80" w:type="dxa"/>
            <w:vAlign w:val="bottom"/>
          </w:tcPr>
          <w:p>
            <w:pPr>
              <w:spacing w:after="0"/>
              <w:rPr>
                <w:sz w:val="16"/>
                <w:szCs w:val="16"/>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467,979</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December 31, 2024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73,879,982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1,282,022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(944,043)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326,491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115,055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441,546</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507,909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3,385</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1,718,202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55,876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33,313</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(8,420)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(8,420)</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(21,492)</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24,548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19,055</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76,161,969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1,319,312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(919,495)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467,979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32016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165" cy="13716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-1696720</wp:posOffset>
            </wp:positionV>
            <wp:extent cx="514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-1696720</wp:posOffset>
            </wp:positionV>
            <wp:extent cx="514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-1696720</wp:posOffset>
            </wp:positionV>
            <wp:extent cx="514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-1696720</wp:posOffset>
            </wp:positionV>
            <wp:extent cx="514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132016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1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132016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1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13201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1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 Pagaya</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60" w:type="dxa"/>
            <w:vAlign w:val="bottom"/>
          </w:tcPr>
          <w:p>
            <w:pPr>
              <w:spacing w:after="0"/>
              <w:rPr>
                <w:sz w:val="11"/>
                <w:szCs w:val="11"/>
                <w:color w:val="auto"/>
              </w:rPr>
            </w:pPr>
          </w:p>
        </w:tc>
        <w:tc>
          <w:tcPr>
            <w:tcW w:w="16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Technologies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72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840" w:type="dxa"/>
            <w:vAlign w:val="bottom"/>
            <w:gridSpan w:val="3"/>
            <w:vMerge w:val="restart"/>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4"/>
                <w:szCs w:val="4"/>
                <w:color w:val="auto"/>
              </w:rPr>
            </w:pPr>
          </w:p>
        </w:tc>
        <w:tc>
          <w:tcPr>
            <w:tcW w:w="94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4"/>
                <w:szCs w:val="4"/>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Ltd.</w:t>
            </w:r>
          </w:p>
        </w:tc>
        <w:tc>
          <w:tcPr>
            <w:tcW w:w="100" w:type="dxa"/>
            <w:vAlign w:val="bottom"/>
          </w:tcPr>
          <w:p>
            <w:pPr>
              <w:spacing w:after="0"/>
              <w:rPr>
                <w:sz w:val="4"/>
                <w:szCs w:val="4"/>
                <w:color w:val="auto"/>
              </w:rPr>
            </w:pPr>
          </w:p>
        </w:tc>
        <w:tc>
          <w:tcPr>
            <w:tcW w:w="76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4"/>
                <w:szCs w:val="4"/>
                <w:color w:val="auto"/>
              </w:rPr>
            </w:pPr>
          </w:p>
        </w:tc>
        <w:tc>
          <w:tcPr>
            <w:tcW w:w="760" w:type="dxa"/>
            <w:vAlign w:val="bottom"/>
            <w:vMerge w:val="restart"/>
          </w:tcPr>
          <w:p>
            <w:pPr>
              <w:jc w:val="center"/>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620" w:type="dxa"/>
            <w:vAlign w:val="bottom"/>
            <w:gridSpan w:val="4"/>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80" w:type="dxa"/>
            <w:vAlign w:val="bottom"/>
            <w:vMerge w:val="restart"/>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20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2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2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8"/>
                <w:szCs w:val="8"/>
                <w:color w:val="auto"/>
              </w:rPr>
            </w:pPr>
          </w:p>
        </w:tc>
        <w:tc>
          <w:tcPr>
            <w:tcW w:w="1000" w:type="dxa"/>
            <w:vAlign w:val="bottom"/>
            <w:gridSpan w:val="2"/>
          </w:tcPr>
          <w:p>
            <w:pPr>
              <w:jc w:val="center"/>
              <w:ind w:right="200"/>
              <w:spacing w:after="0" w:line="10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860" w:type="dxa"/>
            <w:vAlign w:val="bottom"/>
            <w:gridSpan w:val="3"/>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940" w:type="dxa"/>
            <w:vAlign w:val="bottom"/>
            <w:gridSpan w:val="2"/>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March 31,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70,602,363</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1,214,969</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(563,860)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626,830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99,081</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725,911</w:t>
            </w:r>
          </w:p>
        </w:tc>
        <w:tc>
          <w:tcPr>
            <w:tcW w:w="0" w:type="dxa"/>
            <w:vAlign w:val="bottom"/>
          </w:tcPr>
          <w:p>
            <w:pPr>
              <w:spacing w:after="0"/>
              <w:rPr>
                <w:sz w:val="1"/>
                <w:szCs w:val="1"/>
                <w:color w:val="auto"/>
              </w:rPr>
            </w:pPr>
          </w:p>
        </w:tc>
      </w:tr>
      <w:tr>
        <w:trPr>
          <w:trHeight w:val="116"/>
        </w:trPr>
        <w:tc>
          <w:tcPr>
            <w:tcW w:w="20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172,305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821,023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20,093</w:t>
            </w: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ordinary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(45,563)</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(74,785)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(74,785)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(82,679)</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71,595,691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1,235,677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615,574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8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CCEEFF"/>
              <w:right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December 31,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62,043,246</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1,101,914</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(542,637)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559,721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106,028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665,749</w:t>
            </w:r>
          </w:p>
        </w:tc>
        <w:tc>
          <w:tcPr>
            <w:tcW w:w="0" w:type="dxa"/>
            <w:vAlign w:val="bottom"/>
          </w:tcPr>
          <w:p>
            <w:pPr>
              <w:spacing w:after="0"/>
              <w:rPr>
                <w:sz w:val="1"/>
                <w:szCs w:val="1"/>
                <w:color w:val="auto"/>
              </w:rPr>
            </w:pPr>
          </w:p>
        </w:tc>
      </w:tr>
      <w:tr>
        <w:trPr>
          <w:trHeight w:val="116"/>
        </w:trPr>
        <w:tc>
          <w:tcPr>
            <w:tcW w:w="20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272,918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1,481,470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net of</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89,956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89,956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89,956</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costs of $5,312</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37,710</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from the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Financing Purchase</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298,057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Agreement</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Contributions of interests in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(67,094)</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(96,008)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(114,341)</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71,595,691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1,235,677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615,574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32016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1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-2073910</wp:posOffset>
            </wp:positionV>
            <wp:extent cx="132016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16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132016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-3462655</wp:posOffset>
            </wp:positionV>
            <wp:extent cx="13201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165" cy="17145"/>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2"/>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including noncontrolling interests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(114,341)</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method loss (income)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13,359</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33,519</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Fair value adjustment to warrant liability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loss on investments in loans and securities, net (1)</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80,046</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sale of investments in loans and securities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deferred costs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Write-off of capitalized software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foreign exchange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10"/>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8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Fees and other receivables (1)</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(11,614)</w:t>
            </w:r>
          </w:p>
        </w:tc>
      </w:tr>
      <w:tr>
        <w:trPr>
          <w:trHeight w:val="210"/>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interest on investments (1)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(10,204)</w:t>
            </w:r>
          </w:p>
        </w:tc>
      </w:tr>
      <w:tr>
        <w:trPr>
          <w:trHeight w:val="195"/>
        </w:trPr>
        <w:tc>
          <w:tcPr>
            <w:tcW w:w="8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r>
      <w:tr>
        <w:trPr>
          <w:trHeight w:val="210"/>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Right-of-use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r>
      <w:tr>
        <w:trPr>
          <w:trHeight w:val="195"/>
        </w:trPr>
        <w:tc>
          <w:tcPr>
            <w:tcW w:w="8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6,071</w:t>
            </w:r>
          </w:p>
        </w:tc>
      </w:tr>
      <w:tr>
        <w:trPr>
          <w:trHeight w:val="210"/>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w:t>
            </w:r>
          </w:p>
        </w:tc>
      </w:tr>
      <w:tr>
        <w:trPr>
          <w:trHeight w:val="195"/>
        </w:trPr>
        <w:tc>
          <w:tcPr>
            <w:tcW w:w="8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w:t>
            </w:r>
          </w:p>
        </w:tc>
      </w:tr>
      <w:tr>
        <w:trPr>
          <w:trHeight w:val="210"/>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18,363</w:t>
            </w:r>
          </w:p>
        </w:tc>
      </w:tr>
      <w:tr>
        <w:trPr>
          <w:trHeight w:val="19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91,777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27,004</w:t>
            </w: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sale/maturity/prepayment of:</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loans and securities (1)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75,779</w:t>
            </w: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Theorem Technology, Inc., net of cash acquired</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the purchase of:</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 in loans and securities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(408,459)</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(9,525)</w:t>
            </w:r>
          </w:p>
        </w:tc>
      </w:tr>
      <w:tr>
        <w:trPr>
          <w:trHeight w:val="196"/>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method and other investments</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(152,192)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(342,330)</w:t>
            </w:r>
          </w:p>
        </w:tc>
      </w:tr>
      <w:tr>
        <w:trPr>
          <w:trHeight w:val="17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ordinary shares, net of issuance costs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89,956</w:t>
            </w: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244,725</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secured borrowing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207,317</w:t>
            </w: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received from noncontrolling interests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w:t>
            </w: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 warrants and contributions to ESPP</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ordinary shares from the Equity Financing Purchase Agreement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5,338</w:t>
            </w: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made to noncontrolling interests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(5,318)</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made to revolving credit facility</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(134,000)</w:t>
            </w: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made to secured borrowing</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(78,809)</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made to long-term debt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w:t>
            </w:r>
          </w:p>
        </w:tc>
      </w:tr>
      <w:tr>
        <w:trPr>
          <w:trHeight w:val="196"/>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(7,974)</w:t>
            </w:r>
          </w:p>
        </w:tc>
      </w:tr>
      <w:tr>
        <w:trPr>
          <w:trHeight w:val="20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362,434</w:t>
            </w:r>
          </w:p>
        </w:tc>
      </w:tr>
      <w:tr>
        <w:trPr>
          <w:trHeight w:val="18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45,385</w:t>
            </w:r>
          </w:p>
        </w:tc>
      </w:tr>
      <w:tr>
        <w:trPr>
          <w:trHeight w:val="19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226,518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-6240145</wp:posOffset>
            </wp:positionV>
            <wp:extent cx="532320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23205"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46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267,926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unaudited condensed consolidated balance sheet to the amounts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4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shown in the statements of cash flow above:</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233,593</w:t>
            </w:r>
          </w:p>
        </w:tc>
        <w:tc>
          <w:tcPr>
            <w:tcW w:w="0" w:type="dxa"/>
            <w:vAlign w:val="bottom"/>
          </w:tcPr>
          <w:p>
            <w:pPr>
              <w:spacing w:after="0"/>
              <w:rPr>
                <w:sz w:val="1"/>
                <w:szCs w:val="1"/>
                <w:color w:val="auto"/>
              </w:rPr>
            </w:pP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 - current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17,469</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 - non-current</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16,864</w:t>
            </w:r>
          </w:p>
        </w:tc>
        <w:tc>
          <w:tcPr>
            <w:tcW w:w="0" w:type="dxa"/>
            <w:vAlign w:val="bottom"/>
          </w:tcPr>
          <w:p>
            <w:pPr>
              <w:spacing w:after="0"/>
              <w:rPr>
                <w:sz w:val="1"/>
                <w:szCs w:val="1"/>
                <w:color w:val="auto"/>
              </w:rPr>
            </w:pPr>
          </w:p>
        </w:tc>
      </w:tr>
      <w:tr>
        <w:trPr>
          <w:trHeight w:val="203"/>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242,034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267,926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20" w:firstLine="8"/>
        <w:spacing w:after="0" w:line="262" w:lineRule="auto"/>
        <w:tabs>
          <w:tab w:leader="none" w:pos="18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Accrued interest receivable of $14.3 million, previously reported within “Fee and other receivables” as of December 31, 2024, has been reclassified to “Investment in loans and securities” to conform to the current period’s presentation and six month ended June 30, 2024 amounts have been reclassified to conform to the current period presentation.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DESCRIPTION</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Services providers integrated with Pagaya’s network, which are referred to as “Partners,” range from high-growth financial technology companies to incumbent banks and financial institutions, auto finance providers and residential real estate service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and (iii) other similar vehicles (“Financing Vehicles”).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Pagaya Technologies Ltd. was founded in 2016 and is organized under the laws of the State of Israel. Pagaya has its primary offices in the United States and Israel.</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conformity with accounting principles generally accepted in the United States of America (“U.S. GAAP”) and include the accounts of the Company, its wholly-owned subsidiaries, and consolidated variable interest entities (“VIEs”) if any.</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were derived from the audited consolidated financial statements,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2024 included in the Company’s Annual Report on Form 10-K.</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All intercompany accounts and transactions have been eliminated. The Company’s functional and reporting currency is the U.S. Dollar. In management’s opinion, the unaudited condensed consolidated financial statements have been prepared on the same basis as the annual consolidated financial statements, except as noted below, and reflect all adjustments, which include only normal recurring adjustments necessary for the fair presentation of the Company’s financial position as of June 30, 2025 and the Company’s consolidated results of operations and shareholders’ equity for the three and six months ended June 30, 2025 and 2024, and cash flows for the six months ended June 30, 2025 and 2024. The results for the three and six months ended June 30, 2025 are not necessarily indicative of the results to be expected for the full year ending December 31, 2025 or any other future interim or annual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26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6"/>
          <w:szCs w:val="16"/>
          <w:color w:val="auto"/>
        </w:rPr>
        <w:t>There were no material changes to our significant accounting policies as disclosed in Note 2, Summary of Significant Accounting Policies, in the Company’s Annual Report on Form 10-K for the year ended December 31, 2024, which was filed with the SEC on March 12,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the last business day of the second quarter in 2025, the aggregate market value of the Company’s ordinary Class A shares held by non-affiliate shareholders exceeded $700 million. As a result, we will be considered a “large accelerated filer” as defined in Rule 12b-2 under the Exchange Act for filings beginning with our annual report on Form 10-K for the fiscal year ended December 31, 2025, and we will cease to be an emerging growth company as of December 31, 2025. Due to the loss of emerging growth company status, the Company will no longer be exempt from the auditor attestation requirements of Section 404(b) of the Sarbanes-Oxley Act, and our independent registered public accounting firm will evaluate and report on the effectiveness of our internal controls over financial reporting in our annual report for the fiscal year ended December 31, 2025. The transition to large accelerated filer status will also subject the Company to accelerated filing deadlines and additional disclosure requirements, which will further align our reporting with other large US companies for even greater transparency.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prior year amounts have been reclassified to conform to the current period presentation.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 Not Yet Adopted</w:t>
      </w: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the Company for annual periods beginning after December 15, 2024, with early adoption permitted. The Company is currently evaluating the impact of these amendments on its consolidated financial statements disclosures.</w:t>
      </w:r>
    </w:p>
    <w:p>
      <w:pPr>
        <w:spacing w:after="0" w:line="200" w:lineRule="exact"/>
        <w:rPr>
          <w:sz w:val="20"/>
          <w:szCs w:val="20"/>
          <w:color w:val="auto"/>
        </w:rPr>
      </w:pP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unaudited condensed consolidated statements of operations as well as disclosure about selling expense. The effective date for this update was amended by ASU 2025-01 Income Statement-Reporting Comprehensive Income-Expense Disaggregation Disclosures (Subtopic 220-40): Clarifying the Effective Date, and is now effective for annual periods beginning after December 15, 2026, and interim reporting periods within annual reporting periods beginning after December 15, 2027. It could be applied either prospectively or retrospectively. The Company is currently evaluating the impact of these amendments on its consolidated financial statement disclosures.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REVENUE</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(“ABS”), pass-through and forward flow transactions. Capital markets execution fees are earned from the market pricing of ABS transactions while contract fees are management, performance and similar fees. These fees are the result of agreements with customers and are recognized in accordance with FASB Accounting Standards Codification 606, “Revenue from Contracts with Customers” (“ASC 606”).</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Network AI Fees</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Network AI fees, comprised of AI integration fees and capital markets execution fees, totaled $285.9 million and $221.8 million for the three months ended June 30, 2025 and 2024, respectively, and $539.3 million and $437.1 million for the six months ended June 30, 2025 and 2024, respectively. The Company recognizes Network AI fees primarily at a point in time when the related performance obligation is satisfied and the payment term is generally 30 days. From time to time the Company may provide certain incentives to Financing Vehicles. When the Company determines that an incentive is consideration payable, which is not in exchange for distinct goods or services, to a customer, the incentive is recorded as a reduction of revenue. Expenses to third parties for services that are integrated with the Company’s technology are recorded in the consolidated statements of operations as Production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Fees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Contract fees include administration and management fees, performances fees, and servicing fees. Contract fees totaled $31.8 million and $20.8 million for the three months ended June 30, 2025 and 2024, respectively, and $61.1 million and $42.5 million for the six months ended June 30, 2025 and 2024, respectively. All of these fees are recognized over the service period for the Financing Vehicles managed or administered by the Company and the payment term is monthly as a fixed percentage of the entity’s assets, except for the portion of management fees that are recognized at the point in time based on contract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Performance fees are earned when certain Fund Financing Vehicles exceed contractual return thresholds. They are recognized only to the extent that it is probable that a significant reversal in the amount of cumulative revenue recognized will not occur. An estimate is made by the Company based on a variety of factors including market conditions and expected loan performance. In the following period, the true performance is measured and then adjusted to ensure that the fees accurately represent actual performance of Financing Vehicles. As such, there are revenues that result from performance obligations satisfied in the previous year. During the three and six months ended June 30, 2025, $0.2 million and $0.8 million, respectively, worth of fees were recognized, which represent performance obligations satisfied in the previous year that were greater than the original estimate. During the three months ended June 30, 2024, $0.1 million worth of fees were recognized, which represent performance obligations satisfied in the previous year that were greater than the original estimate. During the six months ended June 30, 2024, $3.2 million worth of fees were reversed, which represent performance obligations satisfied in the previous year that were less than the original estimate.</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Servicing fees for the Financing Vehicles, which primarily involve collecting payments and providing reporting on the loans within the securitization vehicles, are recognized over the service period and payment is received monthly from the Financing Vehicles. These duties have been considered to be agent responsibilities and does not include acting as a loan servicer. Accordingly, servicing fees are recorded on a net basis.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Revenue From Fees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w:t>
      </w:r>
    </w:p>
    <w:p>
      <w:pPr>
        <w:spacing w:after="0" w:line="10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Once revenue is recognized, it is recorded on the unaudited condensed consolidated balance sheet in fees and other receivables until the payment is received from the customer. The timing of the recognition depends on the type of service as described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336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Pr>
          <w:p>
            <w:pPr>
              <w:spacing w:after="0"/>
              <w:rPr>
                <w:sz w:val="18"/>
                <w:szCs w:val="18"/>
                <w:color w:val="auto"/>
              </w:rPr>
            </w:pPr>
          </w:p>
        </w:tc>
        <w:tc>
          <w:tcPr>
            <w:tcW w:w="272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transferred at a point in time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298,604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228,317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455,891</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38,696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23,707</w:t>
            </w: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 from fees,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317,714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242,594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600,418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479,598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no material contract assets, contract liabilities, or deferred contract costs recorded as of June 30, 2025 or December 31,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 of Credit Risk and Significant Customers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 of credit risk, consist primarily of cash and cash equivalents, restricted cash and fees receivable. Cash and cash equivalents are principally maintained with major financial institutions, which management assesses to be of high credit quality. The Company has not experienced any losses on these deposits.</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Company’s fees receivable balances are predominantly with agreements with customers, and these are subject to normal credit risks which management believes to be not significant.</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Significant customers are those which represent 10% or more of the Company’s total revenue for each respective period presented. Two customers, including one related party, individually represented greater than 10% of total revenue and collectively totaled approximately 23% for three months ended June 30, 2025. No customer represented more than 10% of the Company’s total revenue for six months ended June 30, 2025. Three customers, including two related parties, individually represented greater than 10% of total revenue and collectively totaled approximately 55% for the three months ended June 30, 2024. Two customers, including one related party, individually represented great than 10% of total revenue and collectively totaled approximately 31% for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BORROWINGS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Company’s outstanding borrowings, inclusive of current and non-current portions, as of the date indicated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2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Secured borrowings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176,089</w:t>
            </w:r>
          </w:p>
        </w:tc>
      </w:tr>
      <w:tr>
        <w:trPr>
          <w:trHeight w:val="213"/>
        </w:trPr>
        <w:tc>
          <w:tcPr>
            <w:tcW w:w="7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314,547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321,317</w:t>
            </w:r>
          </w:p>
        </w:tc>
      </w:tr>
      <w:tr>
        <w:trPr>
          <w:trHeight w:val="219"/>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Exchangeable notes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146,342</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was in compliance with all covenants as of June 30, 2025 and December 31,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Borrowings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Retention Master Repurchase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These agreements with counterparties generally contain contractual provisions allowing the counterparty the right to sell or repledge the collateral. Pledged securities owned that can be sold or repledge by the counterparty are included in Investments in loans and securities in the Company’s unaudited condensed consolidated balance sheet. As of June 30, 2025 and December 31, 2024, the outstanding principal balance under the repurchase agreements was $194.7 million and $144.0 million, respectively, which is recorded within secured borrowing on the unaudited condensed consolidated balance sheet, with a weighted average interest rate of approximately thirteen percent and fifteen percent, respectively. The average remaining contractual maturities of the repurchase agreements were greater than 90 days as of both June 30, 2025 and December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repaid $58.1 million of outstanding principal balance under the repurchase agreements as of August 7, 2025. See Note 15 for additional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Facility</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April 2025, Pagaya Structured Products LLC, a wholly-owned subsidiary, entered into a Loan and Security Agreement (the “LSA Agreement”) with certain lenders. This agreement established a 24-month Capitalized Interest Amounts Facility (the “CIA Facility”) with a maximum principal amount of $24 million to finance eligible capitalized interest amounts related to sponsored securitization transactions. Additionally, in June 2025, Pagaya Structured Products LLC entered into a 30-months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Secured Overnight Financing Rate (“SOFR”) (subject to a 1.00% floor) plus a margin of 4.00%, while the ALPF Facility bear interest at a rate per annum equal to the adjusted term SOFR (subject to a 1.00% floor) plus a margin of 1.9%. As of June 30, 2025, the outstanding principal balance under the CIA Facility and ALPF Facility was $70.8 million, which is recorded within secured borrowing on the unaudited condensed consolidated balance sheet.</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June 2025, Pagaya Receivables LLC, a wholly-owned subsidiary, repaid the outstanding balance of a 3-year loan facility (the “SVB Receivables Facility) and terminated the related Loan and Security Agreement, which was originally executed in October 2022. Borrowings under the SVB Receivables Facility bear interest at a rate per annum equal to the adjusted term Secured Overnight Financing Rate (subject to a 0.00% floor) plus a margin of 3.50%. As of December 31, 2024, the outstanding principal balance under the SVB Receivable Facility was $31.9 million, which is recorded within secured borrowing on the unaudited condensed consolidated balance sheet.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Debt</w:t>
      </w:r>
    </w:p>
    <w:p>
      <w:pPr>
        <w:spacing w:after="0" w:line="25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 November 2024, the Company entered into Amendment No. 2 (the “Amendment”) to the Credit Agreement. Pursuant to the Amendment, the Company incurred incremental term loans in an aggregate principal amount $100 million, bringing the total principal amount of the Term Loan Facility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$58 million.</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A commitment fee accrues on any unused portion of the commitments under the Revolving Credit Facility at a rate per annum of 0.25% and is payable quarterly in arrears. Accrued interest of $2.1 million and $2.8 million was recorded within accrued expenses and other liabilities on the unaudited condensed consolidated balance sheet as of June 30, 2025 and December 31, 2024, respectively.</w:t>
      </w:r>
    </w:p>
    <w:p>
      <w:pPr>
        <w:spacing w:after="0" w:line="21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June 30, 2025, the Company had an outstanding balance of $314.5 million, which is recorded within long-term debt on the unaudited condensed consolidated balance sheet, and its aggregate future maturities consists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2"/>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w:t>
            </w: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17,750</w:t>
            </w:r>
          </w:p>
        </w:tc>
      </w:tr>
      <w:tr>
        <w:trPr>
          <w:trHeight w:val="21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17,750</w:t>
            </w: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17,750</w:t>
            </w:r>
          </w:p>
        </w:tc>
      </w:tr>
      <w:tr>
        <w:trPr>
          <w:trHeight w:val="21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r>
      <w:tr>
        <w:trPr>
          <w:trHeight w:val="207"/>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332,125</w:t>
            </w:r>
          </w:p>
        </w:tc>
      </w:tr>
      <w:tr>
        <w:trPr>
          <w:trHeight w:val="21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4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(17,578)</w:t>
            </w:r>
          </w:p>
        </w:tc>
      </w:tr>
      <w:tr>
        <w:trPr>
          <w:trHeight w:val="212"/>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long-term debt, net of debt issuance costs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314,547</w:t>
            </w:r>
          </w:p>
        </w:tc>
      </w:tr>
      <w:tr>
        <w:trPr>
          <w:trHeight w:val="20"/>
        </w:trPr>
        <w:tc>
          <w:tcPr>
            <w:tcW w:w="8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June 30, 2025 and December 31, 2024, the Company had letters of credit issued in the amount of $20.5 million and $24.3 million, respectively, and $37.5 million and $25.7 million of remaining capacity available under the Revolving Credit Facility,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July 28, 2025, the Company fully paid off the outstanding principal balance of long-term debt of $332.1 million using the proceeds from the issuance of Senior Notes.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15 for additional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Exchangeable Notes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October 1, 2024, the Company, through a wholly owned subsidiary of the Company, issued $160 million aggregate principal amount of its 6.125% Exchangeable Notes (“Notes”) due 2029. The issuance was in connection with a purchase agreement dated September 26, 2024, with certain initial purchasers. The Notes bear interest at a rate of 6.125% per annum, payable semiannually in arrears on April 1 and October 1 of each year, beginning April 1, 2025. The Notes will mature on October 1, 2029, unless earlier repurchased, redeemed, or exchanged.</w:t>
      </w:r>
    </w:p>
    <w:p>
      <w:pPr>
        <w:spacing w:after="0" w:line="2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$6.2 million and consisted of underwriting fees and third-party offering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which are amortized to interest expense using the effective interest method over the contractual term. The Company recorded $3.1 million and $6.1 million of interest</w:t>
      </w:r>
    </w:p>
    <w:p>
      <w:pPr>
        <w:spacing w:after="0" w:line="7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expense, including $0.6 million and $1.2 million of amortization of debt issuance costs, for the three and six months ended June 30, 2025. The effective interest rate of the Notes is 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INVESTMENTS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2025, our investments in loans and securities portfolio consisted of (i) investments held at fair value with changes in fair value recorded in unrealized gain (loss) on securities, excluding the portion relating to any credit loss; (ii) loans held for investment at amortized cost, less an allowance for potential uncollectible amounts; and (iii) investments held at fair value, with changes in fair value recorded in earnings, for which we elected the fair value option. Below is a disaggregated presentation of our investments in loans and securities, including fair value adjustments, accrued interest income and net of the allowance for credit losses, as applicable: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359"/>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333333"/>
              </w:rPr>
              <w:t>June 30, 2025</w:t>
            </w:r>
          </w:p>
        </w:tc>
        <w:tc>
          <w:tcPr>
            <w:tcW w:w="22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8"/>
        </w:trPr>
        <w:tc>
          <w:tcPr>
            <w:tcW w:w="72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loans and securities</w:t>
            </w:r>
          </w:p>
        </w:tc>
        <w:tc>
          <w:tcPr>
            <w:tcW w:w="3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notes, available for sale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309,651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240,273</w:t>
            </w:r>
          </w:p>
        </w:tc>
      </w:tr>
      <w:tr>
        <w:trPr>
          <w:trHeight w:val="219"/>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certificates, available for sale</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533,243</w:t>
            </w:r>
          </w:p>
        </w:tc>
      </w:tr>
      <w:tr>
        <w:trPr>
          <w:trHeight w:val="213"/>
        </w:trPr>
        <w:tc>
          <w:tcPr>
            <w:tcW w:w="7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loans and receivables, at amortized cost</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w:t>
            </w:r>
          </w:p>
        </w:tc>
      </w:tr>
      <w:tr>
        <w:trPr>
          <w:trHeight w:val="212"/>
        </w:trPr>
        <w:tc>
          <w:tcPr>
            <w:tcW w:w="7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778,409</w:t>
            </w:r>
          </w:p>
        </w:tc>
      </w:tr>
      <w:tr>
        <w:trPr>
          <w:trHeight w:val="214"/>
        </w:trPr>
        <w:tc>
          <w:tcPr>
            <w:tcW w:w="72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under the fair value option</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8"/>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investments in loans and securities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870,061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778,409</w:t>
            </w:r>
          </w:p>
        </w:tc>
      </w:tr>
      <w:tr>
        <w:trPr>
          <w:trHeight w:val="21"/>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Loans and Securities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amortized cost, gross unrealized gains and losses, allowance for credit losses, and fair value of investments in securities as of June 30, 2025 and December 31, 2024 were as follows (in thousands). As provided in Note 6, a portion of these investments in securities are consolidated as a result of the Company’s determination that it is the primary beneficiary of certain VIEs.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w:t>
            </w:r>
          </w:p>
        </w:tc>
        <w:tc>
          <w:tcPr>
            <w:tcW w:w="260" w:type="dxa"/>
            <w:vAlign w:val="bottom"/>
          </w:tcPr>
          <w:p>
            <w:pPr>
              <w:spacing w:after="0"/>
              <w:rPr>
                <w:sz w:val="13"/>
                <w:szCs w:val="13"/>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440" w:type="dxa"/>
            <w:vAlign w:val="bottom"/>
            <w:gridSpan w:val="2"/>
          </w:tcPr>
          <w:p>
            <w:pPr>
              <w:ind w:left="320"/>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3"/>
                <w:szCs w:val="13"/>
                <w:color w:val="auto"/>
              </w:rPr>
            </w:pPr>
          </w:p>
        </w:tc>
        <w:tc>
          <w:tcPr>
            <w:tcW w:w="15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4"/>
                <w:szCs w:val="14"/>
                <w:color w:val="auto"/>
              </w:rPr>
            </w:pPr>
          </w:p>
        </w:tc>
        <w:tc>
          <w:tcPr>
            <w:tcW w:w="156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29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sale(1):</w:t>
            </w:r>
          </w:p>
        </w:tc>
        <w:tc>
          <w:tcPr>
            <w:tcW w:w="2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309,651</w:t>
            </w:r>
          </w:p>
        </w:tc>
        <w:tc>
          <w:tcPr>
            <w:tcW w:w="0" w:type="dxa"/>
            <w:vAlign w:val="bottom"/>
          </w:tcPr>
          <w:p>
            <w:pPr>
              <w:spacing w:after="0"/>
              <w:rPr>
                <w:sz w:val="1"/>
                <w:szCs w:val="1"/>
                <w:color w:val="auto"/>
              </w:rPr>
            </w:pPr>
          </w:p>
        </w:tc>
      </w:tr>
      <w:tr>
        <w:trPr>
          <w:trHeight w:val="210"/>
        </w:trPr>
        <w:tc>
          <w:tcPr>
            <w:tcW w:w="2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1,045,199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525,757</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accrued interest receivable of $18.0 million.</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w:t>
            </w:r>
          </w:p>
        </w:tc>
        <w:tc>
          <w:tcPr>
            <w:tcW w:w="240" w:type="dxa"/>
            <w:vAlign w:val="bottom"/>
          </w:tcPr>
          <w:p>
            <w:pPr>
              <w:spacing w:after="0"/>
              <w:rPr>
                <w:sz w:val="13"/>
                <w:szCs w:val="13"/>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20" w:type="dxa"/>
            <w:vAlign w:val="bottom"/>
          </w:tcPr>
          <w:p>
            <w:pPr>
              <w:jc w:val="right"/>
              <w:ind w:right="519"/>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320"/>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1920" w:type="dxa"/>
            <w:vAlign w:val="bottom"/>
            <w:gridSpan w:val="4"/>
            <w:vMerge w:val="restart"/>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920" w:type="dxa"/>
            <w:vAlign w:val="bottom"/>
            <w:gridSpan w:val="4"/>
            <w:vMerge w:val="continue"/>
          </w:tcPr>
          <w:p>
            <w:pPr>
              <w:spacing w:after="0"/>
              <w:rPr>
                <w:sz w:val="14"/>
                <w:szCs w:val="14"/>
                <w:color w:val="auto"/>
              </w:rPr>
            </w:pPr>
          </w:p>
        </w:tc>
        <w:tc>
          <w:tcPr>
            <w:tcW w:w="13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2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sale(2):</w:t>
            </w: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tcPr>
          <w:p>
            <w:pPr>
              <w:spacing w:after="0"/>
              <w:rPr>
                <w:sz w:val="18"/>
                <w:szCs w:val="18"/>
                <w:color w:val="auto"/>
              </w:rPr>
            </w:pPr>
          </w:p>
        </w:tc>
        <w:tc>
          <w:tcPr>
            <w:tcW w:w="1580" w:type="dxa"/>
            <w:vAlign w:val="bottom"/>
            <w:gridSpan w:val="3"/>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240,273</w:t>
            </w:r>
          </w:p>
        </w:tc>
        <w:tc>
          <w:tcPr>
            <w:tcW w:w="0" w:type="dxa"/>
            <w:vAlign w:val="bottom"/>
          </w:tcPr>
          <w:p>
            <w:pPr>
              <w:spacing w:after="0"/>
              <w:rPr>
                <w:sz w:val="1"/>
                <w:szCs w:val="1"/>
                <w:color w:val="auto"/>
              </w:rPr>
            </w:pPr>
          </w:p>
        </w:tc>
      </w:tr>
      <w:tr>
        <w:trPr>
          <w:trHeight w:val="210"/>
        </w:trPr>
        <w:tc>
          <w:tcPr>
            <w:tcW w:w="2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533,243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60" w:firstLine="7"/>
        <w:spacing w:after="0" w:line="280" w:lineRule="auto"/>
        <w:tabs>
          <w:tab w:leader="none" w:pos="2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accrued interest receivable of $14.3 million, previously reported within “Fee and other receivables” as of December 31, 2024, has been reclassified to conform to the current period’s presentation.</w:t>
      </w:r>
    </w:p>
    <w:p>
      <w:pPr>
        <w:spacing w:after="0" w:line="97" w:lineRule="exact"/>
        <w:rPr>
          <w:sz w:val="20"/>
          <w:szCs w:val="20"/>
          <w:color w:val="auto"/>
        </w:rPr>
      </w:pPr>
    </w:p>
    <w:p>
      <w:pPr>
        <w:ind w:left="60"/>
        <w:spacing w:after="0" w:line="280" w:lineRule="auto"/>
        <w:rPr>
          <w:sz w:val="20"/>
          <w:szCs w:val="20"/>
          <w:color w:val="auto"/>
        </w:rPr>
      </w:pPr>
      <w:r>
        <w:rPr>
          <w:rFonts w:ascii="Times New Roman" w:cs="Times New Roman" w:eastAsia="Times New Roman" w:hAnsi="Times New Roman"/>
          <w:sz w:val="16"/>
          <w:szCs w:val="16"/>
          <w:color w:val="auto"/>
        </w:rPr>
        <w:t>The following tables set forth the fair value and gross unrealized losses on investments in securities without an allowance for credit losses aggregated by investment category and length of time that individual securities had been in a continuous unrealized loss position, as of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10"/>
          </w:tcPr>
          <w:p>
            <w:pPr>
              <w:ind w:left="10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578"/>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10"/>
          </w:tcPr>
          <w:p>
            <w:pPr>
              <w:ind w:left="10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521"/>
        </w:trPr>
        <w:tc>
          <w:tcPr>
            <w:tcW w:w="1022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The following table sets forth the amortized cost and fair value of investments in securities by contractual maturities, as of the date indicated (in thousands):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As of June 30, 2025</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10"/>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10"/>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5"/>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10"/>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10"/>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sale(1):</w:t>
            </w:r>
          </w:p>
        </w:tc>
        <w:tc>
          <w:tcPr>
            <w:tcW w:w="20" w:type="dxa"/>
            <w:vAlign w:val="bottom"/>
          </w:tcPr>
          <w:p>
            <w:pPr>
              <w:spacing w:after="0"/>
              <w:rPr>
                <w:sz w:val="18"/>
                <w:szCs w:val="18"/>
                <w:color w:val="auto"/>
              </w:rPr>
            </w:pPr>
          </w:p>
        </w:tc>
        <w:tc>
          <w:tcPr>
            <w:tcW w:w="1260" w:type="dxa"/>
            <w:vAlign w:val="bottom"/>
            <w:tcBorders>
              <w:top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2,537</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309,807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304,046</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312,344</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309,651</w:t>
            </w:r>
          </w:p>
        </w:tc>
        <w:tc>
          <w:tcPr>
            <w:tcW w:w="0" w:type="dxa"/>
            <w:vAlign w:val="bottom"/>
          </w:tcPr>
          <w:p>
            <w:pPr>
              <w:spacing w:after="0"/>
              <w:rPr>
                <w:sz w:val="1"/>
                <w:szCs w:val="1"/>
                <w:color w:val="auto"/>
              </w:rPr>
            </w:pPr>
          </w:p>
        </w:tc>
      </w:tr>
      <w:tr>
        <w:trPr>
          <w:trHeight w:val="210"/>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9,828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1,035,371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1,045,199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525,757</w:t>
            </w:r>
          </w:p>
        </w:tc>
        <w:tc>
          <w:tcPr>
            <w:tcW w:w="0" w:type="dxa"/>
            <w:vAlign w:val="bottom"/>
          </w:tcPr>
          <w:p>
            <w:pPr>
              <w:spacing w:after="0"/>
              <w:rPr>
                <w:sz w:val="1"/>
                <w:szCs w:val="1"/>
                <w:color w:val="auto"/>
              </w:rPr>
            </w:pPr>
          </w:p>
        </w:tc>
      </w:tr>
      <w:tr>
        <w:trPr>
          <w:trHeight w:val="570"/>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10"/>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10"/>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5"/>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10"/>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sale(1)(2):</w:t>
            </w: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230,489</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230,370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240,396</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240,273</w:t>
            </w:r>
          </w:p>
        </w:tc>
        <w:tc>
          <w:tcPr>
            <w:tcW w:w="0" w:type="dxa"/>
            <w:vAlign w:val="bottom"/>
          </w:tcPr>
          <w:p>
            <w:pPr>
              <w:spacing w:after="0"/>
              <w:rPr>
                <w:sz w:val="1"/>
                <w:szCs w:val="1"/>
                <w:color w:val="auto"/>
              </w:rPr>
            </w:pPr>
          </w:p>
        </w:tc>
      </w:tr>
      <w:tr>
        <w:trPr>
          <w:trHeight w:val="210"/>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533,243</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expected maturity date cash flows.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accrued interest receivable of $14.3 million, previously reported within “Fee and other receivables” as of December 31, 2024, has been reclassified to conform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current period’s presentation.</w:t>
      </w:r>
    </w:p>
    <w:p>
      <w:pPr>
        <w:spacing w:after="0" w:line="24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table sets forth gross proceeds and related investment gains (losses), as well as losses on write-downs and the allowance for credit losses of securities, for the periods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6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loans and securities: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sales/maturities/prepayments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129,350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75,779</w:t>
            </w:r>
          </w:p>
        </w:tc>
      </w:tr>
      <w:tr>
        <w:trPr>
          <w:trHeight w:val="21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investment gains from sales and maturities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w:t>
            </w:r>
          </w:p>
        </w:tc>
      </w:tr>
      <w:tr>
        <w:trPr>
          <w:trHeight w:val="21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Reductions (additions) to allowance for credit 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(79,913)</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set forth the activity in the allowance for credit losses for investments in loans and securities, as of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Securitization notes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Securitization</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 Loans and</w:t>
            </w:r>
          </w:p>
        </w:tc>
        <w:tc>
          <w:tcPr>
            <w:tcW w:w="340" w:type="dxa"/>
            <w:vAlign w:val="bottom"/>
          </w:tcPr>
          <w:p>
            <w:pPr>
              <w:spacing w:after="0"/>
              <w:rPr>
                <w:sz w:val="13"/>
                <w:szCs w:val="13"/>
                <w:color w:val="auto"/>
              </w:rPr>
            </w:pPr>
          </w:p>
        </w:tc>
        <w:tc>
          <w:tcPr>
            <w:tcW w:w="12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certificates</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(466,520)</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not previously recorded</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Additions (reductions) on securities with previous allowance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(494,869)</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Securitization notes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Securitization</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 Loans and</w:t>
            </w:r>
          </w:p>
        </w:tc>
        <w:tc>
          <w:tcPr>
            <w:tcW w:w="340" w:type="dxa"/>
            <w:vAlign w:val="bottom"/>
          </w:tcPr>
          <w:p>
            <w:pPr>
              <w:spacing w:after="0"/>
              <w:rPr>
                <w:sz w:val="13"/>
                <w:szCs w:val="13"/>
                <w:color w:val="auto"/>
              </w:rPr>
            </w:pPr>
          </w:p>
        </w:tc>
        <w:tc>
          <w:tcPr>
            <w:tcW w:w="12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certificates</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(510,294)</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not previously recorded</w:t>
            </w:r>
          </w:p>
        </w:tc>
        <w:tc>
          <w:tcPr>
            <w:tcW w:w="100" w:type="dxa"/>
            <w:vAlign w:val="bottom"/>
          </w:tcPr>
          <w:p>
            <w:pPr>
              <w:spacing w:after="0"/>
              <w:rPr>
                <w:sz w:val="18"/>
                <w:szCs w:val="18"/>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(49,025)</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Reductions for securities sold during the period</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78,355</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Additions (reductions) on securities with previous allowance</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2"/>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(490,896)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(494,869)</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Securitization notes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Securitization</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 Loans and</w:t>
            </w:r>
          </w:p>
        </w:tc>
        <w:tc>
          <w:tcPr>
            <w:tcW w:w="340" w:type="dxa"/>
            <w:vAlign w:val="bottom"/>
          </w:tcPr>
          <w:p>
            <w:pPr>
              <w:spacing w:after="0"/>
              <w:rPr>
                <w:sz w:val="13"/>
                <w:szCs w:val="13"/>
                <w:color w:val="auto"/>
              </w:rPr>
            </w:pPr>
          </w:p>
        </w:tc>
        <w:tc>
          <w:tcPr>
            <w:tcW w:w="12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certificates</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(126,360)</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not previously recorded</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(23,628)</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Additions (reductions) on securities with previous allowance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(29,434)</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Recoveries of amounts previously written off</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0"/>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Securitization notes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Securitization</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 Loans and</w:t>
            </w:r>
          </w:p>
        </w:tc>
        <w:tc>
          <w:tcPr>
            <w:tcW w:w="340" w:type="dxa"/>
            <w:vAlign w:val="bottom"/>
          </w:tcPr>
          <w:p>
            <w:pPr>
              <w:spacing w:after="0"/>
              <w:rPr>
                <w:sz w:val="13"/>
                <w:szCs w:val="13"/>
                <w:color w:val="auto"/>
              </w:rPr>
            </w:pPr>
          </w:p>
        </w:tc>
        <w:tc>
          <w:tcPr>
            <w:tcW w:w="12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certificates</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7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(100,958)</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Additions to allowance for credit losses not previously recorded</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(26,593)</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Additions to the allowance for credit losses arising from purchases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Additions (reductions) on securities with previous allowance</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0" w:type="dxa"/>
            <w:vAlign w:val="bottom"/>
          </w:tcPr>
          <w:p>
            <w:pPr>
              <w:spacing w:after="0"/>
              <w:rPr>
                <w:sz w:val="1"/>
                <w:szCs w:val="1"/>
                <w:color w:val="auto"/>
              </w:rPr>
            </w:pPr>
          </w:p>
        </w:tc>
      </w:tr>
      <w:tr>
        <w:trPr>
          <w:trHeight w:val="213"/>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Recoveries of amounts previously written off</w:t>
            </w:r>
          </w:p>
        </w:tc>
        <w:tc>
          <w:tcPr>
            <w:tcW w:w="10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(178,130)</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securities, under the fair value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 We elected the fair value option to measure certain securities, as we believe that fair value best reflects the economic transaction of investing in certain new securities. We determined the fair value of certain securities using a discounted cash flow methodology, while also considering market data as it became available. We record the initial fair value measurement and subsequent measurement changes in fair value in the period in which the changes occur within the other expenses, net in the unaudited condensed consolidated statements of operations. We report the changes in fair value within Impairment loss on investments in loans and securities, net in the unaudited condensed consolidated statements of cash flow.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activities of investments in securities for which we elected the fair value option. See Note 10 for the assumptions used in our fair value model:</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 in securities under the fair value option</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At the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gains for the period included in other expenses, net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At the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32,888</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32,888</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Method and Other Investments</w:t>
      </w:r>
    </w:p>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investments, including those accounted for under the equity method, are included within Equity method and other investments in the unaudited condensed consolidated balance sheets as of June 30, 2025 and December 31, 2024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333333"/>
              </w:rPr>
              <w:t>June 30, 2025</w:t>
            </w:r>
          </w:p>
        </w:tc>
        <w:tc>
          <w:tcPr>
            <w:tcW w:w="22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Investments in Pagaya SmartResi F1 Fund, LP (1)</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w:t>
            </w:r>
          </w:p>
        </w:tc>
      </w:tr>
      <w:tr>
        <w:trPr>
          <w:trHeight w:val="213"/>
        </w:trPr>
        <w:tc>
          <w:tcPr>
            <w:tcW w:w="7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(2)</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9,403</w:t>
            </w:r>
          </w:p>
        </w:tc>
      </w:tr>
      <w:tr>
        <w:trPr>
          <w:trHeight w:val="237"/>
        </w:trPr>
        <w:tc>
          <w:tcPr>
            <w:tcW w:w="7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owns approximately 5.4% and is the general partner of Pagaya Smartresi F1 Fund LP.</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Company’s proprietary investments. Income from these investments is included in Investment income in the unaudited condensed consolidated statements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CONSOLIDATION AND VARIABLE INTEREST ENTITIES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variable interests in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VIEs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2025 and December 31, 2024, the Company has determined that it is the primary beneficiary of Pagaya Structured Holdings LLC, Pagaya Structured Holdings II LLC, and Pagaya Structured Holding III LLC (“Risk Retention Entities”). As sponsor of securitization transactions, the Company is subject to risk retention requirements and established the Risk Retention Entities to meet these requirements.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of assets and liabilities from the Company’s involvement with consolidated VIEs (i.e., Risk Retention Entities)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6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773"/>
        </w:trPr>
        <w:tc>
          <w:tcPr>
            <w:tcW w:w="4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24"/>
                <w:szCs w:val="24"/>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13"/>
        </w:trPr>
        <w:tc>
          <w:tcPr>
            <w:tcW w:w="40" w:type="dxa"/>
            <w:vAlign w:val="bottom"/>
          </w:tcPr>
          <w:p>
            <w:pPr>
              <w:spacing w:after="0"/>
              <w:rPr>
                <w:sz w:val="18"/>
                <w:szCs w:val="18"/>
                <w:color w:val="auto"/>
              </w:rPr>
            </w:pPr>
          </w:p>
        </w:tc>
        <w:tc>
          <w:tcPr>
            <w:tcW w:w="62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June 30, 2025</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125,923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125,923</w:t>
            </w:r>
          </w:p>
        </w:tc>
      </w:tr>
      <w:tr>
        <w:trPr>
          <w:trHeight w:val="210"/>
        </w:trPr>
        <w:tc>
          <w:tcPr>
            <w:tcW w:w="40" w:type="dxa"/>
            <w:vAlign w:val="bottom"/>
          </w:tcPr>
          <w:p>
            <w:pPr>
              <w:spacing w:after="0"/>
              <w:rPr>
                <w:sz w:val="18"/>
                <w:szCs w:val="18"/>
                <w:color w:val="auto"/>
              </w:rPr>
            </w:pPr>
          </w:p>
        </w:tc>
        <w:tc>
          <w:tcPr>
            <w:tcW w:w="6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of December 31, 2024</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142,584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142,584</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Unconsolidated VIEs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w:t>
      </w:r>
    </w:p>
    <w:p>
      <w:pPr>
        <w:spacing w:after="0" w:line="1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of the Company’s direct interest in (i.e., not held through Risk Retention Entities) variable interests in nonconsolidated VIEs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Maximum Exposure</w:t>
            </w:r>
          </w:p>
        </w:tc>
        <w:tc>
          <w:tcPr>
            <w:tcW w:w="260" w:type="dxa"/>
            <w:vAlign w:val="bottom"/>
          </w:tcPr>
          <w:p>
            <w:pPr>
              <w:spacing w:after="0"/>
              <w:rPr>
                <w:sz w:val="16"/>
                <w:szCs w:val="16"/>
                <w:color w:val="auto"/>
              </w:rPr>
            </w:pPr>
          </w:p>
        </w:tc>
        <w:tc>
          <w:tcPr>
            <w:tcW w:w="13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VIE Assets</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to Loss</w:t>
            </w:r>
          </w:p>
        </w:tc>
        <w:tc>
          <w:tcPr>
            <w:tcW w:w="2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June 30,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742,749</w:t>
            </w:r>
          </w:p>
        </w:tc>
        <w:tc>
          <w:tcPr>
            <w:tcW w:w="4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742,749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11,412,967</w:t>
            </w:r>
          </w:p>
        </w:tc>
        <w:tc>
          <w:tcPr>
            <w:tcW w:w="0" w:type="dxa"/>
            <w:vAlign w:val="bottom"/>
          </w:tcPr>
          <w:p>
            <w:pPr>
              <w:spacing w:after="0"/>
              <w:rPr>
                <w:sz w:val="1"/>
                <w:szCs w:val="1"/>
                <w:color w:val="auto"/>
              </w:rPr>
            </w:pPr>
          </w:p>
        </w:tc>
      </w:tr>
      <w:tr>
        <w:trPr>
          <w:trHeight w:val="210"/>
        </w:trPr>
        <w:tc>
          <w:tcPr>
            <w:tcW w:w="6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 of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628,038</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628,038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10,708,146</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From time to time, the Company may, but is not obligated to, purchase assets from the Financing Vehicles. Such repurchases occur at the Company’s discretion, subject to contractual requirements and limitations. See Note 9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LEASES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 leases facilities under operating leases with various expiration dates through 2032. The Company leases office space in New York, Israel and several other locations.</w:t>
      </w:r>
    </w:p>
    <w:p>
      <w:pPr>
        <w:spacing w:after="0" w:line="9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security deposits for the leases are $3.1 million and $3.3 million as of June 30, 2025 and December 31, 2024, respectively, which have been recognized as restricted cash, non-current in the unaudited condensed consolidated balance sheets.</w:t>
      </w:r>
    </w:p>
    <w:p>
      <w:pPr>
        <w:spacing w:after="0" w:line="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Company’s operating lease expense consists of rent and variable lease payments. Variable lease payments such as common area maintenance were included in operating expenses. Rent expense for the Company’s short-term leases was immaterial for the periods presented. Operating lease expense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20" w:type="dxa"/>
            <w:vAlign w:val="bottom"/>
            <w:tcBorders>
              <w:bottom w:val="single" w:sz="8" w:color="auto"/>
            </w:tcBorders>
          </w:tcPr>
          <w:p>
            <w:pPr>
              <w:spacing w:after="0"/>
              <w:rPr>
                <w:sz w:val="18"/>
                <w:szCs w:val="18"/>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 expense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payments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 (1)</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r>
    </w:tbl>
    <w:p>
      <w:pPr>
        <w:spacing w:after="0" w:line="67" w:lineRule="exact"/>
        <w:rPr>
          <w:sz w:val="20"/>
          <w:szCs w:val="20"/>
          <w:color w:val="auto"/>
        </w:rPr>
      </w:pPr>
    </w:p>
    <w:p>
      <w:pPr>
        <w:ind w:right="20" w:firstLine="8"/>
        <w:spacing w:after="0" w:line="298" w:lineRule="auto"/>
        <w:tabs>
          <w:tab w:leader="none" w:pos="2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entered into sublease agreements for certain leased office space, and the amounts were included in other expense, net in the unaudited condensed consolidated statements of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information related to the Company’s operating leases was as follows ($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71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868"/>
        </w:trPr>
        <w:tc>
          <w:tcPr>
            <w:tcW w:w="1160" w:type="dxa"/>
            <w:vAlign w:val="bottom"/>
            <w:tcBorders>
              <w:top w:val="single" w:sz="8" w:color="0000FF"/>
              <w:bottom w:val="single" w:sz="8" w:color="CCEEFF"/>
            </w:tcBorders>
          </w:tcPr>
          <w:p>
            <w:pPr>
              <w:spacing w:after="0"/>
              <w:rPr>
                <w:sz w:val="24"/>
                <w:szCs w:val="24"/>
                <w:color w:val="auto"/>
              </w:rPr>
            </w:pPr>
          </w:p>
        </w:tc>
        <w:tc>
          <w:tcPr>
            <w:tcW w:w="39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664"/>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6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56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120" w:type="dxa"/>
            <w:vAlign w:val="bottom"/>
            <w:gridSpan w:val="2"/>
          </w:tcPr>
          <w:p>
            <w:pPr>
              <w:spacing w:after="0"/>
              <w:rPr>
                <w:sz w:val="18"/>
                <w:szCs w:val="18"/>
                <w:color w:val="auto"/>
              </w:rPr>
            </w:pPr>
          </w:p>
        </w:tc>
        <w:tc>
          <w:tcPr>
            <w:tcW w:w="20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98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1" w:lineRule="exact"/>
        <w:rPr>
          <w:sz w:val="20"/>
          <w:szCs w:val="20"/>
          <w:color w:val="auto"/>
        </w:rPr>
      </w:pPr>
    </w:p>
    <w:p>
      <w:pPr>
        <w:sectPr>
          <w:pgSz w:w="11900" w:h="16838" w:orient="portrait"/>
          <w:cols w:equalWidth="0" w:num="1">
            <w:col w:w="11240"/>
          </w:cols>
          <w:pgMar w:left="320" w:top="847" w:right="339" w:bottom="1440" w:gutter="0" w:footer="0" w:header="0"/>
        </w:sectPr>
      </w:pPr>
    </w:p>
    <w:tbl>
      <w:tblPr>
        <w:tblLayout w:type="fixed"/>
        <w:tblInd w:w="80" w:type="dxa"/>
        <w:tblCellMar>
          <w:top w:w="0" w:type="dxa"/>
          <w:left w:w="0" w:type="dxa"/>
          <w:bottom w:w="0" w:type="dxa"/>
          <w:right w:w="0" w:type="dxa"/>
        </w:tblCellMar>
      </w:tblPr>
      <w:tr>
        <w:trPr>
          <w:trHeight w:val="166"/>
        </w:trPr>
        <w:tc>
          <w:tcPr>
            <w:tcW w:w="50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Operating lease right-of-use assets recognized in exchange for new operating</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460" w:val="left"/>
          <w:tab w:leader="none" w:pos="1660" w:val="left"/>
          <w:tab w:leader="none" w:pos="2000" w:val="left"/>
          <w:tab w:leader="none" w:pos="3080" w:val="left"/>
          <w:tab w:leader="none" w:pos="3560" w:val="left"/>
          <w:tab w:leader="none" w:pos="4620" w:val="left"/>
        </w:tabs>
        <w:rPr>
          <w:sz w:val="20"/>
          <w:szCs w:val="20"/>
          <w:color w:val="auto"/>
        </w:rPr>
      </w:pPr>
      <w:r>
        <w:rPr>
          <w:rFonts w:ascii="Times New Roman" w:cs="Times New Roman" w:eastAsia="Times New Roman" w:hAnsi="Times New Roman"/>
          <w:sz w:val="16"/>
          <w:szCs w:val="16"/>
          <w:color w:val="auto"/>
        </w:rPr>
        <w:t>(113)</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(113)</w:t>
        <w:tab/>
        <w:t>$</w:t>
      </w:r>
      <w:r>
        <w:rPr>
          <w:sz w:val="20"/>
          <w:szCs w:val="20"/>
          <w:color w:val="auto"/>
        </w:rPr>
        <w:tab/>
      </w:r>
      <w:r>
        <w:rPr>
          <w:rFonts w:ascii="Times New Roman" w:cs="Times New Roman" w:eastAsia="Times New Roman" w:hAnsi="Times New Roman"/>
          <w:sz w:val="16"/>
          <w:szCs w:val="16"/>
          <w:color w:val="auto"/>
        </w:rPr>
        <w:t>(219)</w:t>
      </w:r>
    </w:p>
    <w:p>
      <w:pPr>
        <w:spacing w:after="0" w:line="226" w:lineRule="exact"/>
        <w:rPr>
          <w:sz w:val="20"/>
          <w:szCs w:val="20"/>
          <w:color w:val="auto"/>
        </w:rPr>
      </w:pPr>
    </w:p>
    <w:p>
      <w:pPr>
        <w:sectPr>
          <w:pgSz w:w="11900" w:h="16838" w:orient="portrait"/>
          <w:cols w:equalWidth="0" w:num="2">
            <w:col w:w="5500" w:space="720"/>
            <w:col w:w="5020"/>
          </w:cols>
          <w:pgMar w:left="320" w:top="847" w:right="339" w:bottom="1440" w:gutter="0" w:footer="0" w:header="0"/>
          <w:type w:val="continuous"/>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Maturities of the Company’s operating lease liabilities as of June 30, 2025 were as follows (in thousands):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60" w:type="dxa"/>
            <w:vAlign w:val="bottom"/>
            <w:vMerge w:val="restart"/>
          </w:tcPr>
          <w:p>
            <w:pPr>
              <w:spacing w:after="0"/>
              <w:rPr>
                <w:sz w:val="24"/>
                <w:szCs w:val="24"/>
                <w:color w:val="auto"/>
              </w:rPr>
            </w:pPr>
          </w:p>
        </w:tc>
        <w:tc>
          <w:tcPr>
            <w:tcW w:w="9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2026</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2027</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2028</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2029</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9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10,921</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9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45,158</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9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Less: imputed interest</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9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COMMITMENTS AND CONTINGENCIES</w:t>
      </w:r>
    </w:p>
    <w:p>
      <w:pPr>
        <w:spacing w:after="0" w:line="2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Legal Proceedings </w:t>
      </w:r>
      <w:r>
        <w:rPr>
          <w:rFonts w:ascii="Times New Roman" w:cs="Times New Roman" w:eastAsia="Times New Roman" w:hAnsi="Times New Roman"/>
          <w:sz w:val="16"/>
          <w:szCs w:val="16"/>
          <w:color w:val="auto"/>
        </w:rPr>
        <w:t>— From time to time the Company is subject to legal proceedings and claims in the ordinary course of business. The results of such matters often cannot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matters, to the extent such matters existed, have been recorded in accrued expenses and other liabilities on the unaudited condensed consolidated balance sheets and these matters are immaterial.</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Contractual Obligations and Commitments </w:t>
      </w:r>
      <w:r>
        <w:rPr>
          <w:rFonts w:ascii="Times New Roman" w:cs="Times New Roman" w:eastAsia="Times New Roman" w:hAnsi="Times New Roman"/>
          <w:sz w:val="16"/>
          <w:szCs w:val="16"/>
          <w:color w:val="auto"/>
        </w:rPr>
        <w:t>— From time to time, the Company enters into a purchase commitment with our third-party cloud computing web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providers. As of June 30, 2025, the total remaining contractual obligations from this purchase commitment are approximately $2.1 million, of which $1.7 million is for the next 12 months. The Company may pay more than the minimum purchase commitment based on usage. Additionally, the Company has contractual obligations related to its lease for corporate office space. See Note 7 for details regarding when these obligations are due.</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October 2024, the Company completed the acquisition of Theorem Technology, Inc. (“Theorem”), a Silicon Valley-based institutional asset manager focused exclusively on the consumer credit space, managing assets for global institutional investors since its founding in 2014. The Company acquired 100% of Theorem’s equity for approximately $17.5 million, consisting of $10.0 million cash and 504,440 of the Company’s Class A Ordinary Shares ($7.5 million worth as of the closing date), with an additional contingent consideration based on achievement of certain performance objectives defined in the purchase agreement. The Company established contingent consideration liability is reported at fair value, which is determined based on the present value of an expected payment under the arrangement, using an option pricing model based on a number of assumptions, including certain unobservable assumptions discounted at an estimated market interest rate. The fair value of the liability is updated each reporting period, with changes in fair value reported within “Other expenses, net.” The fair value of the contingent consideration liability was $0.7 million and $6.1 million as of June 30, 2025 and December 31, 2024, respectively.</w:t>
      </w:r>
    </w:p>
    <w:p>
      <w:pPr>
        <w:spacing w:after="0" w:line="21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Guarantees and Indemnifications </w:t>
      </w:r>
      <w:r>
        <w:rPr>
          <w:rFonts w:ascii="Times New Roman" w:cs="Times New Roman" w:eastAsia="Times New Roman" w:hAnsi="Times New Roman"/>
          <w:sz w:val="16"/>
          <w:szCs w:val="16"/>
          <w:color w:val="auto"/>
        </w:rPr>
        <w:t>— In the ordinary course of business, the Company may provide indemnifications or loss guarantees of varying scope and terms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June 30, 2025, there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and each reporting period,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June 30, 2025, the unfunded maximum potential amount of undiscounted future payments the Company could be required to make under these guarantees totaled $86.9 million. Additionally, in accordance with the guarantee contracts, the Company is required to fund segregated cash balances to provide protection in the event the Company is not able to meet its contractual commitments. As of June 30, 2025, $51.7 million has been segregated and recognized within restricted cash, of which $6 million has been accrued within accrued expenses and other liabilities in the unaudited condensed consolidated balance sheet in accordance with these contractual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TRANSACTIONS WITH RELATED PARTIES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the ordinary course of business, the Company may enter into transactions with directors, principal officers, their immediate families, and affiliated companies in which they are principal shareholders (commonly referred to as related parties). In addition, the Company has transactions with the securitization vehicles and other Financing Vehicles, which are also related parties.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June 30, 2025, the current and non-current fee receivables from related parties are $64.3 million and $30.7 million, respectively, which consist of $72.6 million from securitization vehicles and $22.4 million from other Financing Vehicles. As of December 31, 2024, the current and non-current fee receivables from related parties are $70.2 million and $29.2 million, respectively, which consists of $79.0 million from securitization vehicles and $20.4 million from other Financing Vehicles.</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June 30, 2025 and December 31, 2024, prepaid expenses and other assets include amounts due from related parties of $9.4 million and $15.2 million, respectively, all of which were attributable to Financing Vehicles.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three months ended June 30, 2025, the total revenue from related parties is $146.6 million, which consists of $137.9 million from securitization vehicles and $8.7 million from other Financing Vehicles. For the six months ended June 30, 2025, the total revenue from related party is $314.5 million, which consists of $297.0 million from securitization vehicles and $17.5 million from other Financing Vehicles. For the three months ended June 30, 2024, the total revenue from related parties is $175.3 million, which consists of $157.2 million from securitization vehicles and $18.1 million from other Financing Vehicles. For the six months ended June 30, 2024, the total revenue from related parties is $353.8 million which consists of $319.8 million from securitization vehicles and $34.0 million from other Financing Vehicles.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the three and six months ended June 30, 2025, the Company purchased approximately $2.0 million and $5.8 million, respectively, of loan principal from the Financing Vehicles and included a loss of approximately $1.9 million and $5.4 million, respectively, in general and administrative expenses with respect to these loans. During the three and six months ended June 30, 2024, the Company purchased approximately $14.5 million and $19.5 million, respectively, of loan principal from the Financing Vehicles and included a loss of approximately $13.4 million and $18.4 million, respectively, in general and administrative expenses with respect to these loans.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FAIR VALUE MEASUREMENT</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models that use, as inputs, observable market-based parameters to the greatest extent possible.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Recorded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assets and liabilities that are measured at fair value on a recurring basis as of June 30, 2025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indicates the fair value hierarchy of the valuation inputs the Company utilized to determine such fair value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34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1"/>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(Notes)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133,326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187,869</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321,195</w:t>
            </w: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(Certificates)</w:t>
            </w: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547,101</w:t>
            </w: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1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 (1)</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w:t>
            </w:r>
          </w:p>
        </w:tc>
      </w:tr>
    </w:tbl>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(Notes) (2)</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115,220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125,054</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240,274</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(Certificates) (2)</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533,243</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 (1)</w:t>
            </w:r>
          </w:p>
        </w:tc>
        <w:tc>
          <w:tcPr>
            <w:tcW w:w="1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r>
    </w:tbl>
    <w:p>
      <w:pPr>
        <w:spacing w:after="0" w:line="73"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expenses and other liabilities” in the unaudited condensed consolidated balance sheets. See Note 8 for additional information.</w:t>
      </w:r>
    </w:p>
    <w:p>
      <w:pPr>
        <w:spacing w:after="0" w:line="26" w:lineRule="exact"/>
        <w:rPr>
          <w:rFonts w:ascii="Times New Roman" w:cs="Times New Roman" w:eastAsia="Times New Roman" w:hAnsi="Times New Roman"/>
          <w:sz w:val="16"/>
          <w:szCs w:val="16"/>
          <w:color w:val="auto"/>
        </w:rPr>
      </w:pPr>
    </w:p>
    <w:p>
      <w:pPr>
        <w:ind w:firstLine="8"/>
        <w:spacing w:after="0" w:line="270" w:lineRule="auto"/>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interest receivable of $14.3 million, previously reported within “Fee and other receivables” as of December 31, 2024, has been reclassified to conform to the current period’s presentation.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1 and 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Warrant liability (Level 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Warrant liability activity for the three and six months ended June 30,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77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868"/>
        </w:trPr>
        <w:tc>
          <w:tcPr>
            <w:tcW w:w="1160" w:type="dxa"/>
            <w:vAlign w:val="bottom"/>
            <w:tcBorders>
              <w:top w:val="single" w:sz="8" w:color="0000FF"/>
              <w:bottom w:val="single" w:sz="8" w:color="CCEEFF"/>
            </w:tcBorders>
          </w:tcPr>
          <w:p>
            <w:pPr>
              <w:spacing w:after="0"/>
              <w:rPr>
                <w:sz w:val="24"/>
                <w:szCs w:val="24"/>
                <w:color w:val="auto"/>
              </w:rPr>
            </w:pPr>
          </w:p>
        </w:tc>
        <w:tc>
          <w:tcPr>
            <w:tcW w:w="65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r>
      <w:tr>
        <w:trPr>
          <w:trHeight w:val="213"/>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r>
      <w:tr>
        <w:trPr>
          <w:trHeight w:val="213"/>
        </w:trPr>
        <w:tc>
          <w:tcPr>
            <w:tcW w:w="77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37"/>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13"/>
        </w:trPr>
        <w:tc>
          <w:tcPr>
            <w:tcW w:w="7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3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16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r>
      <w:tr>
        <w:trPr>
          <w:trHeight w:val="21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13"/>
        </w:trPr>
        <w:tc>
          <w:tcPr>
            <w:tcW w:w="7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160" w:type="dxa"/>
            <w:vAlign w:val="bottom"/>
            <w:shd w:val="clear" w:color="auto" w:fill="CCEEFF"/>
          </w:tcPr>
          <w:p>
            <w:pPr>
              <w:jc w:val="center"/>
              <w:ind w:left="2579"/>
              <w:spacing w:after="0"/>
              <w:rPr>
                <w:sz w:val="20"/>
                <w:szCs w:val="20"/>
                <w:color w:val="auto"/>
              </w:rPr>
            </w:pPr>
            <w:r>
              <w:rPr>
                <w:rFonts w:ascii="Times New Roman" w:cs="Times New Roman" w:eastAsia="Times New Roman" w:hAnsi="Times New Roman"/>
                <w:sz w:val="16"/>
                <w:szCs w:val="16"/>
                <w:color w:val="auto"/>
              </w:rPr>
              <w:t>3,242</w:t>
            </w:r>
          </w:p>
        </w:tc>
      </w:tr>
      <w:tr>
        <w:trPr>
          <w:trHeight w:val="213"/>
        </w:trPr>
        <w:tc>
          <w:tcPr>
            <w:tcW w:w="7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3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center"/>
              <w:ind w:left="2559"/>
              <w:spacing w:after="0"/>
              <w:rPr>
                <w:sz w:val="20"/>
                <w:szCs w:val="20"/>
                <w:color w:val="auto"/>
              </w:rPr>
            </w:pPr>
            <w:r>
              <w:rPr>
                <w:rFonts w:ascii="Times New Roman" w:cs="Times New Roman" w:eastAsia="Times New Roman" w:hAnsi="Times New Roman"/>
                <w:sz w:val="16"/>
                <w:szCs w:val="16"/>
                <w:color w:val="auto"/>
              </w:rPr>
              <w:t>(1,571)</w:t>
            </w: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160" w:type="dxa"/>
            <w:vAlign w:val="bottom"/>
            <w:tcBorders>
              <w:bottom w:val="single" w:sz="8" w:color="auto"/>
            </w:tcBorders>
            <w:shd w:val="clear" w:color="auto" w:fill="CCEEFF"/>
          </w:tcPr>
          <w:p>
            <w:pPr>
              <w:jc w:val="center"/>
              <w:ind w:left="2579"/>
              <w:spacing w:after="0"/>
              <w:rPr>
                <w:sz w:val="20"/>
                <w:szCs w:val="20"/>
                <w:color w:val="auto"/>
              </w:rPr>
            </w:pPr>
            <w:r>
              <w:rPr>
                <w:rFonts w:ascii="Times New Roman" w:cs="Times New Roman" w:eastAsia="Times New Roman" w:hAnsi="Times New Roman"/>
                <w:sz w:val="16"/>
                <w:szCs w:val="16"/>
                <w:color w:val="auto"/>
              </w:rPr>
              <w:t>1,671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Investments in Loans and Securities (Level 3)</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of June 30, 2025, the Company held investments in loans and securities classified as available for sale. These assets are measured at fair value using a discounted cash flow model, and presented within investments in loans and securities on the unaudited condensed consolidated balance sheets. Changes in the fair value, other than declines in fair value due to credit, are reflected in other comprehensive income (loss) on the unaudited condensed consolidated statements of comprehensive loss. Declines in fair value due to credit are reflected in other expenses, net on the unaudited condensed consolidated statements of operations.</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held investments in securities under the fair value option. These assets are measured using a discounted cash flow methodology, while also considering market data as it become available, and presented within investments in loans and securities on the unaudited condensed consolidated balance sheets. The initial fair value measurement and subsequent measurement changes in fair value in the period are reflected in the other expenses, net on the unaudited condensed consolidated statements of operations.</w:t>
      </w:r>
    </w:p>
    <w:p>
      <w:pPr>
        <w:spacing w:after="0" w:line="22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tables summarize the activity related to the fair value of the investments in loans and securities available for sale (Level 3 only) for the three and six months ended June 30,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24"/>
                <w:szCs w:val="24"/>
                <w:color w:val="auto"/>
              </w:rPr>
            </w:pPr>
          </w:p>
        </w:tc>
        <w:tc>
          <w:tcPr>
            <w:tcW w:w="274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16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626,368</w:t>
            </w:r>
          </w:p>
        </w:tc>
      </w:tr>
      <w:tr>
        <w:trPr>
          <w:trHeight w:val="213"/>
        </w:trPr>
        <w:tc>
          <w:tcPr>
            <w:tcW w:w="4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Transfer from Level 2</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10,469</w:t>
            </w:r>
          </w:p>
        </w:tc>
      </w:tr>
      <w:tr>
        <w:trPr>
          <w:trHeight w:val="219"/>
        </w:trPr>
        <w:tc>
          <w:tcPr>
            <w:tcW w:w="4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406,696</w:t>
            </w:r>
          </w:p>
        </w:tc>
      </w:tr>
      <w:tr>
        <w:trPr>
          <w:trHeight w:val="213"/>
        </w:trPr>
        <w:tc>
          <w:tcPr>
            <w:tcW w:w="4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Cash received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(42,572)</w:t>
            </w:r>
          </w:p>
        </w:tc>
      </w:tr>
      <w:tr>
        <w:trPr>
          <w:trHeight w:val="219"/>
        </w:trPr>
        <w:tc>
          <w:tcPr>
            <w:tcW w:w="4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sale of Investments in loans and securities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Change in accrued interest on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(OCI)</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(67,632)</w:t>
            </w:r>
          </w:p>
        </w:tc>
      </w:tr>
      <w:tr>
        <w:trPr>
          <w:trHeight w:val="213"/>
        </w:trPr>
        <w:tc>
          <w:tcPr>
            <w:tcW w:w="49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Credit-related impairment loss, net of recoveries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(79,911)</w:t>
            </w:r>
          </w:p>
        </w:tc>
      </w:tr>
      <w:tr>
        <w:trPr>
          <w:trHeight w:val="237"/>
        </w:trPr>
        <w:tc>
          <w:tcPr>
            <w:tcW w:w="49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853,418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853,418</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Significant unobservable inputs used for our Level 3 fair value measurement of the loans and securities and credit losses are the discount rate, loss rate, and prepayment rate and consideration of any optional redemption features in our investment securities. Significant increases or decreases in any of the inputs in isolation could result in a significantly lower or higher fair value measurement.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quantitative information about the significant unobservable inputs used for our Level 3 fair value measurement of the loans and securities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2025 and December 31, 2024: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60" w:type="dxa"/>
            <w:vAlign w:val="bottom"/>
            <w:tcBorders>
              <w:bottom w:val="single" w:sz="8" w:color="auto"/>
            </w:tcBorders>
          </w:tcPr>
          <w:p>
            <w:pPr>
              <w:spacing w:after="0"/>
              <w:rPr>
                <w:sz w:val="18"/>
                <w:szCs w:val="18"/>
                <w:color w:val="auto"/>
              </w:rPr>
            </w:pPr>
          </w:p>
        </w:tc>
      </w:tr>
      <w:tr>
        <w:trPr>
          <w:trHeight w:val="214"/>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8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1"/>
        </w:trPr>
        <w:tc>
          <w:tcPr>
            <w:tcW w:w="18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Discount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13"/>
        </w:trPr>
        <w:tc>
          <w:tcPr>
            <w:tcW w:w="1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r>
      <w:tr>
        <w:trPr>
          <w:trHeight w:val="219"/>
        </w:trPr>
        <w:tc>
          <w:tcPr>
            <w:tcW w:w="1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Prepayment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Not Recorded at Fair Value</w:t>
      </w:r>
    </w:p>
    <w:p>
      <w:pPr>
        <w:spacing w:after="0" w:line="26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 believes that the carrying amount of cash, cash equivalents and restricted cash, fees and other receivables, accounts payables and other current liabilities approximate their fair value due to the short-term maturities of these instruments.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below tables contain information about assets that are not measured at fair value on a recurring basis as of June 30, 2025 and December 31, 2024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3"/>
                <w:szCs w:val="13"/>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3"/>
                <w:szCs w:val="13"/>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242,033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242,033</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and other receivables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149,183</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other loans and receivables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314,547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346,702</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Exchangeable notes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283,462</w:t>
            </w: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borrowing</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3"/>
                <w:szCs w:val="13"/>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3"/>
                <w:szCs w:val="13"/>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226,518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226,518</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and other receivables (1)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other loans and receivables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321,317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366,396</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Exchangeable notes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163,360</w:t>
            </w:r>
          </w:p>
        </w:tc>
        <w:tc>
          <w:tcPr>
            <w:tcW w:w="0" w:type="dxa"/>
            <w:vAlign w:val="bottom"/>
          </w:tcPr>
          <w:p>
            <w:pPr>
              <w:spacing w:after="0"/>
              <w:rPr>
                <w:sz w:val="1"/>
                <w:szCs w:val="1"/>
                <w:color w:val="auto"/>
              </w:rPr>
            </w:pPr>
          </w:p>
        </w:tc>
      </w:tr>
      <w:tr>
        <w:trPr>
          <w:trHeight w:val="21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Secured borrowing</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177,554</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20" w:firstLine="8"/>
        <w:spacing w:after="0" w:line="280" w:lineRule="auto"/>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interest receivable of $14.3 million, previously reported within “Fee and other receivables” as of December 31, 2024, has been reclassified to “Investment in loans and securities” to conform to the current period’s presentation.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ORDINARY SHARES AND ORDINARY SHARE WARRANTS</w:t>
      </w:r>
    </w:p>
    <w:p>
      <w:pPr>
        <w:spacing w:after="0" w:line="25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As of June 30, 2025, 839,999,998 shares with no par value are authorized, of which, 6,666,666 shares are designated as Preferred Shares, 666,666,666 shares are designated as Class A Ordinary Shares, and 166,666,666 shares are designated as Class B Ordinary Shares. As of June 30, 2025, the Company had 5,000,000 Preferred Shares outstanding, 64,873,392 Class A Ordinary Shares outstanding and 11,288,577 Class B Ordinary Shares outstanding.</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rights of the holders of each class of Ordinary Shares are identical, except with respect to voting. Each Class A Ordinary Share is entitled to one vote per share. Each Class B Ordinary Share is entitled to 10 votes per share. Class B Ordinary Shares may be converted at any time at the option of the stockholder and automatically convert upon sale or transfer to a Class A Ordinary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and December 31, 2024, the Company had reserved ordinary shares for future issuance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1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1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 options</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3,466,678</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4,042,901</w:t>
            </w:r>
          </w:p>
        </w:tc>
      </w:tr>
      <w:tr>
        <w:trPr>
          <w:trHeight w:val="213"/>
        </w:trPr>
        <w:tc>
          <w:tcPr>
            <w:tcW w:w="7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Options to restricted shares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19,909,511</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19,948,408</w:t>
            </w:r>
          </w:p>
        </w:tc>
      </w:tr>
      <w:tr>
        <w:trPr>
          <w:trHeight w:val="219"/>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RSUs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3,321,903</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3,009,918</w:t>
            </w:r>
          </w:p>
        </w:tc>
      </w:tr>
      <w:tr>
        <w:trPr>
          <w:trHeight w:val="213"/>
        </w:trPr>
        <w:tc>
          <w:tcPr>
            <w:tcW w:w="7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 warrants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3,123,714</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2,372,858</w:t>
            </w:r>
          </w:p>
        </w:tc>
      </w:tr>
      <w:tr>
        <w:trPr>
          <w:trHeight w:val="219"/>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Redeemable convertible preferred shares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213"/>
        </w:trPr>
        <w:tc>
          <w:tcPr>
            <w:tcW w:w="7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Exchangeable notes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11,434,704</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11,434,704</w:t>
            </w:r>
          </w:p>
        </w:tc>
      </w:tr>
      <w:tr>
        <w:trPr>
          <w:trHeight w:val="219"/>
        </w:trPr>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Shares available for future grant of equity awards(1)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9,951,916</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8,121,438</w:t>
            </w:r>
          </w:p>
        </w:tc>
      </w:tr>
      <w:tr>
        <w:trPr>
          <w:trHeight w:val="213"/>
        </w:trPr>
        <w:tc>
          <w:tcPr>
            <w:tcW w:w="7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Shares reserved for issuance under the ESPP</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776,837</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832,713</w:t>
            </w:r>
          </w:p>
        </w:tc>
      </w:tr>
      <w:tr>
        <w:trPr>
          <w:trHeight w:val="237"/>
        </w:trPr>
        <w:tc>
          <w:tcPr>
            <w:tcW w:w="7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shares of ordinary share reserved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56,985,263</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54,762,940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firstLine="8"/>
        <w:spacing w:after="0" w:line="280" w:lineRule="auto"/>
        <w:tabs>
          <w:tab w:leader="none" w:pos="23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application of the automatic increase of shares reserved under the Company's 2022 Share Incentive Plan (the "2022 Plan") pursuant to the terms of the 2022 Plan. For more information on the automatic increases see our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 Warrants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accounted for the ordinary share warrants as equity-classified warrants as they met the requirements for equity classification under ASC 815, including whether the ordinary share warrants are indexed to the Company’s own ordinary shares.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 the accompanying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2025, there were 433,942 warrants expiring in March 2031 with an exercise price of $0.00006 per share, 192,900 warrants expiring in June 2030 with an exercise price of $0.0006 per share, 220,000 warrants expiring in March 2032 with an exercise price of $0.12 per share, 1,047,706 warrants expiring in September 2034 with an exercise price of $0.01 per share, and 1,229,166 warrants expiring in June 2027 (consisting of the Public Warrants) with an exercise price of $138 per share to purchase one Class A Ordinary Share.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SHARE BASED COMPENSATION</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Share Options</w:t>
      </w:r>
      <w:r>
        <w:rPr>
          <w:rFonts w:ascii="Times New Roman" w:cs="Times New Roman" w:eastAsia="Times New Roman" w:hAnsi="Times New Roman"/>
          <w:sz w:val="16"/>
          <w:szCs w:val="16"/>
          <w:color w:val="auto"/>
        </w:rPr>
        <w:t>—Granted share options expire at the earlier of termination of employment or ten years from the date of grant. Share options generally vest over four years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Company’s share option activity during the six months ended June 30,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80" w:type="dxa"/>
            <w:vAlign w:val="bottom"/>
          </w:tcPr>
          <w:p>
            <w:pPr>
              <w:spacing w:after="0"/>
              <w:rPr>
                <w:sz w:val="14"/>
                <w:szCs w:val="14"/>
                <w:color w:val="auto"/>
              </w:rPr>
            </w:pPr>
          </w:p>
        </w:tc>
        <w:tc>
          <w:tcPr>
            <w:tcW w:w="13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Intrinsic Value (000’s)</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4,042,901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3,466,678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49,532</w:t>
            </w:r>
          </w:p>
        </w:tc>
        <w:tc>
          <w:tcPr>
            <w:tcW w:w="0" w:type="dxa"/>
            <w:vAlign w:val="bottom"/>
          </w:tcPr>
          <w:p>
            <w:pPr>
              <w:spacing w:after="0"/>
              <w:rPr>
                <w:sz w:val="1"/>
                <w:szCs w:val="1"/>
                <w:color w:val="auto"/>
              </w:rPr>
            </w:pPr>
          </w:p>
        </w:tc>
      </w:tr>
      <w:tr>
        <w:trPr>
          <w:trHeight w:val="204"/>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exercisable, June 30,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2,674,214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44,788</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weighted-average grant-date fair value of options granted was approximately $9.70 for the six months ended June 30, 2025 and there was no grant of share options during the six months ended June 30, 2024. The aggregate intrinsic value of options exercised was approximately $7.2 million and $2.6 million for the six months ended June 30, 2025 and 2024, respectively. The total grant date fair value of share options vested for the six months ended June 30, 2025 and 2024, was $3.2 million and $13.9 million,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6"/>
                <w:szCs w:val="16"/>
                <w:color w:val="auto"/>
              </w:rPr>
              <w:t>The assumptions used to estimate the fair value of share options granted for the six months ended June 30, 2025 were as follows:</w:t>
            </w:r>
          </w:p>
        </w:tc>
        <w:tc>
          <w:tcPr>
            <w:tcW w:w="1720" w:type="dxa"/>
            <w:vAlign w:val="bottom"/>
          </w:tcPr>
          <w:p>
            <w:pPr>
              <w:spacing w:after="0"/>
              <w:rPr>
                <w:sz w:val="18"/>
                <w:szCs w:val="18"/>
                <w:color w:val="auto"/>
              </w:rPr>
            </w:pPr>
          </w:p>
        </w:tc>
      </w:tr>
      <w:tr>
        <w:trPr>
          <w:trHeight w:val="263"/>
        </w:trPr>
        <w:tc>
          <w:tcPr>
            <w:tcW w:w="95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6"/>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105.4 %</w:t>
            </w:r>
          </w:p>
        </w:tc>
      </w:tr>
      <w:tr>
        <w:trPr>
          <w:trHeight w:val="213"/>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free interest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0"/>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bl>
    <w:p>
      <w:pPr>
        <w:spacing w:after="0" w:line="32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June 30, 2025, unrecognized compensation expense related to unvested share options was approximately $10.7 million, which is expected to be recognized over a remaining weighted-average period of 1.1 years.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Restricted Stock Units (RSUs)</w:t>
      </w:r>
      <w:r>
        <w:rPr>
          <w:rFonts w:ascii="Times New Roman" w:cs="Times New Roman" w:eastAsia="Times New Roman" w:hAnsi="Times New Roman"/>
          <w:sz w:val="16"/>
          <w:szCs w:val="16"/>
          <w:color w:val="auto"/>
        </w:rPr>
        <w:t>—RSUs for new employees generally vest over two years of the employment commencement date with 50% vesting on the twelve-month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employment commencement date, and the remaining on a pro-rata basis each quarter over the remaining twelve months. RSUs for existing employees are granted periodically and generally vest quarterly over periods of 1 to 4 years. Unvested RSUs are forfeited at termination of employment. Any RSUs that are forfeited become available for future grants.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Company’s RSU activity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7"/>
        </w:trPr>
        <w:tc>
          <w:tcPr>
            <w:tcW w:w="1160" w:type="dxa"/>
            <w:vAlign w:val="bottom"/>
            <w:tcBorders>
              <w:top w:val="single" w:sz="8" w:color="0000FF"/>
            </w:tcBorders>
          </w:tcPr>
          <w:p>
            <w:pPr>
              <w:spacing w:after="0"/>
              <w:rPr>
                <w:sz w:val="24"/>
                <w:szCs w:val="24"/>
                <w:color w:val="auto"/>
              </w:rPr>
            </w:pPr>
          </w:p>
        </w:tc>
        <w:tc>
          <w:tcPr>
            <w:tcW w:w="5020" w:type="dxa"/>
            <w:vAlign w:val="bottom"/>
          </w:tcPr>
          <w:p>
            <w:pPr>
              <w:spacing w:after="0"/>
              <w:rPr>
                <w:sz w:val="24"/>
                <w:szCs w:val="24"/>
                <w:color w:val="auto"/>
              </w:rPr>
            </w:pP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20" w:type="dxa"/>
            <w:vAlign w:val="bottom"/>
          </w:tcPr>
          <w:p>
            <w:pPr>
              <w:spacing w:after="0"/>
              <w:rPr>
                <w:sz w:val="24"/>
                <w:szCs w:val="24"/>
                <w:color w:val="auto"/>
              </w:rPr>
            </w:pPr>
          </w:p>
        </w:tc>
        <w:tc>
          <w:tcPr>
            <w:tcW w:w="3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Weighted Average Grant Date Fair Value Per</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3,009,918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3"/>
        </w:trPr>
        <w:tc>
          <w:tcPr>
            <w:tcW w:w="6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2,189,950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9"/>
        </w:trPr>
        <w:tc>
          <w:tcPr>
            <w:tcW w:w="6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(1,551,536)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(326,429)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June 30,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3,321,903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June 30, 2025, unrecognized compensation expense related to RSUs was approximately $30.5 million, which is expected to be recognized over a remaining weighted-average period of 0.8 years.</w:t>
      </w:r>
    </w:p>
    <w:p>
      <w:pPr>
        <w:spacing w:after="0" w:line="190"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Options to Restricted Shares</w:t>
      </w:r>
      <w:r>
        <w:rPr>
          <w:rFonts w:ascii="Times New Roman" w:cs="Times New Roman" w:eastAsia="Times New Roman" w:hAnsi="Times New Roman"/>
          <w:sz w:val="16"/>
          <w:szCs w:val="16"/>
          <w:color w:val="auto"/>
        </w:rPr>
        <w:t>—Options to restricted shares were granted to certain employees and directors during 2021. See Note 16 to the consolidated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statements included in the Annual Report on Form 10-K for additional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Company’s options to restricted shares activity during the six months ended June 30,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80" w:type="dxa"/>
            <w:vAlign w:val="bottom"/>
          </w:tcPr>
          <w:p>
            <w:pPr>
              <w:spacing w:after="0"/>
              <w:rPr>
                <w:sz w:val="14"/>
                <w:szCs w:val="14"/>
                <w:color w:val="auto"/>
              </w:rPr>
            </w:pP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Intrinsic Value (000’s)</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19,948,408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19,909,511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exercisable, June 30,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16,554,033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At June 30, 2025, unrecognized compensation expense related to options to restricted shares was approximately $8.0 million, which is expected to be recognized over a remaining weighted-average period of 1.2 years.</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6"/>
          <w:szCs w:val="16"/>
          <w:b w:val="1"/>
          <w:bCs w:val="1"/>
          <w:color w:val="auto"/>
        </w:rPr>
        <w:t>Employee Stock Purchase Plan</w:t>
      </w:r>
      <w:r>
        <w:rPr>
          <w:rFonts w:ascii="Times New Roman" w:cs="Times New Roman" w:eastAsia="Times New Roman" w:hAnsi="Times New Roman"/>
          <w:sz w:val="16"/>
          <w:szCs w:val="16"/>
          <w:color w:val="auto"/>
        </w:rPr>
        <w:t>—The Employee Stock Purchase Plan (“ESPP”) allows eligible employees to purchase shares of our Class A Ordinary Shares at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discounted price, normally through payroll deductions, subject to the terms of the ESPP and applicable law. During the six months ended June 30, 2025, 55,876 shares were issued under the ESPP. As of June 30, 2025, 776,837 shares of Class A Ordinary Shares were reserved for issuance under the ESPP. Compensation expense related to the ESPP was $0.1 million and $0.3 million for the three and six months ended June 30, 2025,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 Expense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components and classification of share-based compensation for the three and six months ended June 30, 2025 and 2024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310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w:t>
            </w:r>
          </w:p>
        </w:tc>
      </w:tr>
      <w:tr>
        <w:trPr>
          <w:trHeight w:val="212"/>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33,519</w:t>
            </w:r>
          </w:p>
        </w:tc>
      </w:tr>
      <w:tr>
        <w:trPr>
          <w:trHeight w:val="21"/>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Income Tax</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Ordinary taxable income in Israel is subject to a corporate tax rate of 23%. However, the Company has received an approval from the Israeli Tax authorities for Preferred Technological Enterprise (“PTE”) status and received approval on November 18, 2021. The Company is eligible for PTE status which is implemented commencing 2020. Income from a PTE is subject to 12% tax rate. The Company is currently in the process of obtaining a renewal of its PTE status.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Regulations in Israel</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Under the Foreign Exchange Regulations, the Company calculates its tax liability in U.S. Dollars according to certain orders. The tax liability, as calculated in U.S. Dollars is translated into NIS according to the exchange rate as of December 31st of each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Non-Israeli subsidiaries are taxed according to the tax laws in their respective countries of residence.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effective tax rates for the three and six months ended June 30, 2025 and 2024 are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74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9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21,541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(94,826)</w:t>
            </w:r>
          </w:p>
        </w:tc>
      </w:tr>
      <w:tr>
        <w:trPr>
          <w:trHeight w:val="21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2,438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19,515</w:t>
            </w: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Company’s tax rate is affected by recurring items, such as tax rates in foreign jurisdictions and the relative amounts of income the Company earns in those jurisdictions. The change in the effective tax rate was primarily due to discrete tax expenses related to a change in uncertain tax positions in the three and six months ended June 30, 2025. The difference between the effective tax rate and the statuary tax rate in Israel mainly related to a change in valuation allowance in Israel, tax expenses in the United States, and a change in uncertain tax positions.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provides a valuation allowance to offset certain deferred tax assets due to the uncertainty of realizing future tax benefits from its net operating loss carryforwards and other deferred tax assets.</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July 4, 2025, the One Big Beautiful Bill Act was signed into law in the U.S. which contains a broad range of tax reform provisions affecting businesses. We are evaluating the full effects of the legislation on our effective tax rate and cash tax position on our financial statements. As the legislation was signed into law after the close of our second quarter, the impacts are not included in our operating results for three and six months ended June 30,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EARNINGS (LOSS) PER SHARE</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tables set forth the calculation of basic and diluted earnings (loss) per share attributable to ordinary shareholders for the three and six months ended June 30, 2025 and 2024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75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74"/>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333333"/>
              </w:rPr>
              <w:t>Three Months Ended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333333"/>
              </w:rPr>
              <w:t>Six Months Ended June</w:t>
            </w: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333333"/>
              </w:rPr>
              <w:t>June 30, 2025</w:t>
            </w:r>
          </w:p>
        </w:tc>
        <w:tc>
          <w:tcPr>
            <w:tcW w:w="360" w:type="dxa"/>
            <w:vAlign w:val="bottom"/>
          </w:tcPr>
          <w:p>
            <w:pPr>
              <w:spacing w:after="0"/>
              <w:rPr>
                <w:sz w:val="18"/>
                <w:szCs w:val="18"/>
                <w:color w:val="auto"/>
              </w:rPr>
            </w:pPr>
          </w:p>
        </w:tc>
        <w:tc>
          <w:tcPr>
            <w:tcW w:w="14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333333"/>
              </w:rPr>
              <w:t>30, 2025</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Basic EPS:</w:t>
            </w:r>
          </w:p>
        </w:tc>
        <w:tc>
          <w:tcPr>
            <w:tcW w:w="14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24,548</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6"/>
                <w:szCs w:val="16"/>
                <w:color w:val="auto"/>
              </w:rPr>
              <w:t>Less: Undistributed earnings allocated to preferred shares</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w:t>
            </w: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 ordinary shareholders,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23,039</w:t>
            </w:r>
          </w:p>
        </w:tc>
      </w:tr>
      <w:tr>
        <w:trPr>
          <w:trHeight w:val="194"/>
        </w:trPr>
        <w:tc>
          <w:tcPr>
            <w:tcW w:w="2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 average shares used for earnings per ordinary share, basic</w:t>
            </w: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76,873,529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76,347,801</w:t>
            </w:r>
          </w:p>
        </w:tc>
      </w:tr>
      <w:tr>
        <w:trPr>
          <w:trHeight w:val="212"/>
        </w:trPr>
        <w:tc>
          <w:tcPr>
            <w:tcW w:w="20" w:type="dxa"/>
            <w:vAlign w:val="bottom"/>
          </w:tcPr>
          <w:p>
            <w:pPr>
              <w:spacing w:after="0"/>
              <w:rPr>
                <w:sz w:val="18"/>
                <w:szCs w:val="18"/>
                <w:color w:val="auto"/>
              </w:rPr>
            </w:pPr>
          </w:p>
        </w:tc>
        <w:tc>
          <w:tcPr>
            <w:tcW w:w="74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Earnings per share attributable to ordinary shareholders, 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74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EPS:</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 ordinary shareholders,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23,039</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4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Shares used in computation of basic earnings per share</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76,873,529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76,347,801</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Ordinary share warrants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785,062</w:t>
            </w:r>
          </w:p>
        </w:tc>
      </w:tr>
      <w:tr>
        <w:trPr>
          <w:trHeight w:val="213"/>
        </w:trPr>
        <w:tc>
          <w:tcPr>
            <w:tcW w:w="20" w:type="dxa"/>
            <w:vAlign w:val="bottom"/>
          </w:tcPr>
          <w:p>
            <w:pPr>
              <w:spacing w:after="0"/>
              <w:rPr>
                <w:sz w:val="18"/>
                <w:szCs w:val="18"/>
                <w:color w:val="auto"/>
              </w:rPr>
            </w:pPr>
          </w:p>
        </w:tc>
        <w:tc>
          <w:tcPr>
            <w:tcW w:w="74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Share options</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289,132</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Unvested RSUs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1,264,668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852,798</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6"/>
                <w:szCs w:val="16"/>
                <w:color w:val="auto"/>
              </w:rPr>
              <w:t>Ordinary shares upon employee stock purchase plan</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26,317</w:t>
            </w:r>
          </w:p>
        </w:tc>
      </w:tr>
      <w:tr>
        <w:trPr>
          <w:trHeight w:val="209"/>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 average shares used for earnings per ordinary share, diluted</w:t>
            </w: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79,667,635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78,301,110</w:t>
            </w:r>
          </w:p>
        </w:tc>
      </w:tr>
      <w:tr>
        <w:trPr>
          <w:trHeight w:val="212"/>
        </w:trPr>
        <w:tc>
          <w:tcPr>
            <w:tcW w:w="20" w:type="dxa"/>
            <w:vAlign w:val="bottom"/>
          </w:tcPr>
          <w:p>
            <w:pPr>
              <w:spacing w:after="0"/>
              <w:rPr>
                <w:sz w:val="18"/>
                <w:szCs w:val="18"/>
                <w:color w:val="auto"/>
              </w:rPr>
            </w:pPr>
          </w:p>
        </w:tc>
        <w:tc>
          <w:tcPr>
            <w:tcW w:w="74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Earnings per share attributable to ordinary shareholders,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333333"/>
              </w:rPr>
              <w:t>Three Months Ended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333333"/>
              </w:rPr>
              <w:t>Six Months Ended June</w:t>
            </w:r>
          </w:p>
        </w:tc>
      </w:tr>
      <w:tr>
        <w:trPr>
          <w:trHeight w:val="214"/>
        </w:trPr>
        <w:tc>
          <w:tcPr>
            <w:tcW w:w="7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333333"/>
              </w:rPr>
              <w:t>June 30, 2024</w:t>
            </w:r>
          </w:p>
        </w:tc>
        <w:tc>
          <w:tcPr>
            <w:tcW w:w="360" w:type="dxa"/>
            <w:vAlign w:val="bottom"/>
          </w:tcPr>
          <w:p>
            <w:pPr>
              <w:spacing w:after="0"/>
              <w:rPr>
                <w:sz w:val="18"/>
                <w:szCs w:val="18"/>
                <w:color w:val="auto"/>
              </w:rPr>
            </w:pPr>
          </w:p>
        </w:tc>
        <w:tc>
          <w:tcPr>
            <w:tcW w:w="14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333333"/>
              </w:rPr>
              <w:t>30, 2024</w:t>
            </w:r>
          </w:p>
        </w:tc>
      </w:tr>
      <w:tr>
        <w:trPr>
          <w:trHeight w:val="198"/>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 attributable to Pagaya Technologies Ltd. ordinary shareholders,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(96,008)</w:t>
            </w: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Weighted average shares used for net loss per ordinary share, basic and diluted</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71,765,884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68,113,860</w:t>
            </w:r>
          </w:p>
        </w:tc>
      </w:tr>
      <w:tr>
        <w:trPr>
          <w:trHeight w:val="237"/>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EPS for Class B ordinary shares is not presented separately, as under the two-class method, the EPS for Class A and Class B shares are the same.</w:t>
      </w:r>
    </w:p>
    <w:p>
      <w:pPr>
        <w:spacing w:after="0" w:line="26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following potentially dilutive outstanding securities as of June 30, 2025 and 2024 were excluded from the computation of diluted earnings (loss) per share because their effect would have been anti-dilutive for the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42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20" w:type="dxa"/>
            <w:vAlign w:val="bottom"/>
            <w:tcBorders>
              <w:bottom w:val="single" w:sz="8" w:color="auto"/>
            </w:tcBorders>
          </w:tcPr>
          <w:p>
            <w:pPr>
              <w:spacing w:after="0"/>
              <w:rPr>
                <w:sz w:val="18"/>
                <w:szCs w:val="18"/>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options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3,539,256</w:t>
            </w: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to restricted shares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19,909,511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20,025,410</w:t>
            </w: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3,754,702</w:t>
            </w: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shares</w:t>
            </w:r>
          </w:p>
        </w:tc>
        <w:tc>
          <w:tcPr>
            <w:tcW w:w="242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Ordinary share warrants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1,229,166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2,016,321</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Exchangeable notes(1)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11,434,704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potential dilutive outstanding securities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33,570,600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34,335,689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firstLine="8"/>
        <w:spacing w:after="0" w:line="298" w:lineRule="auto"/>
        <w:tabs>
          <w:tab w:leader="none" w:pos="24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June 30, 2025, the potential shares from exchangeable notes were excluded from the diluted EPS calculation as the incremental interest expense, net of tax, and the related shares would not be dilutive under the if-converted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SUBSEQUENT EVENTS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 Issuance</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July 28, 2025, the Company, through Pagaya US Holding Company LLC (“Pagaya US”), a wholly-owned subsidiary of the Company, completed the issuance of $500 million aggregate principal amount of Senior Unsecured Notes (“Senior Notes”) due 2030. The Senior Notes will accrue interest at a rate of 8.875% per annum, payable semi-annually in arrears on February 1 and August 1 of each year, beginning on February 1, 2026. The Senior Notes will mature on August 1, 2030, unless earlier repurchased or redeemed. The Senior Notes will be fully and unconditionally guaranteed, on a senior unsecured basis, by the Company and each of the Company’s subsidiaries (other than Pagaya US) that is a guarantor under its existing credit agreement (collectively, the “Guarantors”). The Senior Notes and the related note guarantees will be senior unsecured obligations of Pagaya US and the Guarantors.</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used the net proceeds from the Senior Notes to repay amounting to $332.1 million of outstanding principal of long-term debt on July 28, 2025. Additionally, the Company has repaid $58.1 million of secured borrowing as of August 7, 2025 and has indicated its intention to repay additional secured borrowings. As a result of these transactions, the Company has incurred a loss of $24 million, related to the write-off of deferred issuance costs and early payment penalty associated with the long-term debt. The new borrowings, repayments and pro-forma balances of long-term debt, secured borrowings and Senior Notes, as of the date of August 7, 2025 were as follows ($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333333"/>
              </w:rPr>
              <w:t>June 30, 2025</w:t>
            </w:r>
          </w:p>
        </w:tc>
        <w:tc>
          <w:tcPr>
            <w:tcW w:w="10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New Borrowing(2)</w:t>
            </w:r>
          </w:p>
        </w:tc>
        <w:tc>
          <w:tcPr>
            <w:tcW w:w="200" w:type="dxa"/>
            <w:vAlign w:val="bottom"/>
          </w:tcPr>
          <w:p>
            <w:pPr>
              <w:spacing w:after="0"/>
              <w:rPr>
                <w:sz w:val="18"/>
                <w:szCs w:val="18"/>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Repayments</w:t>
            </w:r>
          </w:p>
        </w:tc>
        <w:tc>
          <w:tcPr>
            <w:tcW w:w="260" w:type="dxa"/>
            <w:vAlign w:val="bottom"/>
          </w:tcPr>
          <w:p>
            <w:pPr>
              <w:spacing w:after="0"/>
              <w:rPr>
                <w:sz w:val="18"/>
                <w:szCs w:val="18"/>
                <w:color w:val="auto"/>
              </w:rPr>
            </w:pPr>
          </w:p>
        </w:tc>
        <w:tc>
          <w:tcPr>
            <w:tcW w:w="13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Pro-forma</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Interest Rate(1)</w:t>
            </w:r>
          </w:p>
        </w:tc>
        <w:tc>
          <w:tcPr>
            <w:tcW w:w="1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debt(3)</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332,125</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(332,125)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borrowing(3)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267,647</w:t>
            </w:r>
          </w:p>
        </w:tc>
        <w:tc>
          <w:tcPr>
            <w:tcW w:w="17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209,529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8.875%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12"/>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599,772</w:t>
            </w: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(390,243)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709,529</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as of June 30, 2025 for long-term debt and secured borrowing.</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underwriting fees of $7.5 million</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the unaudited condensed consolidated interim financial statements included elsewhere in this Quarterly Report on Form 10-Q (“Form 10-Q”) and our audited annual consolidated financial statements as of and for the years ended December 31, 2024 and 2023, and the related notes included in our Annual Report on Form 10-K filed with the SEC on March 12, 2025 (“our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our actual results could differ materially from the results described in or implied by the forward-looking statements contained in the following discussion and analysis. In this section “we,” “us,” “our” and “Pagaya” refer to Pagaya Technologies Ltd.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w:t>
      </w:r>
    </w:p>
    <w:p>
      <w:pPr>
        <w:spacing w:after="0" w:line="3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a product-focused technology company that deploys sophisticated data science and proprietary, AI-powered technology to enable better outcomes for financial institutions, their existing and potential customers, and institutional or sophisticated investors.</w:t>
      </w:r>
    </w:p>
    <w:p>
      <w:pPr>
        <w:spacing w:after="0" w:line="1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the last business day of the second quarter in 2025, the aggregate market value of the Company’s ordinary Class A shares held by non-affiliate shareholders exceeded $700 million. As a result, we will be considered a “large accelerated filer” as defined in Rule 12b-2 under the Exchange Act for filings beginning with our annual report on Form 10-K for the fiscal year ended December 31, 2025, and we will cease to be an “emerging growth company” as of December 31, 2025. Due to the loss of emerging growth company status, the Company will no longer be exempt from the auditor attestation requirements of Section 404(b) of the Sarbanes-Oxley Act, and our independent registered public accounting firm will evaluate and report on the effectiveness of our internal controls over financial reporting in our annual report for the fiscal year ended December 31, 2025. The transition to large accelerated filer status will also subject the Company to accelerated filing deadlines and additional disclosure requirements, which will further align our reporting with other large US companies for even greater transparency.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Foreign Private Issuer Status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was previously classified as a “foreign private issuer” (“FPI”) under SEC rules; however, as of June 30, 2025, the Company determined that it no longer satisfied the criteria to be an FPI. Consequently, we will be required to comply with all of the provisions applicable to a U.S. domestic issuer under the Exchange Act. There will be no material adjustments required as a result of this adjustment since we have decided to voluntarily file on U.S. domestic issuer forms with the SEC beginning in 2024. Since then, the Company has been filing its quarterly reports on Form 10-Q, current reports on Form 8-K, and its annual reports on Form 10-K. In addition, the Company has been complying with Regulation FD and the SEC’s proxy rules, with the exception of the “short-swing” profit recovery provisions of Section 16 of the Exchange Act. Beginning on January 1, 2026, our officers, directors, and principal shareholders will be subject to the “short-swing” profit recovery provisions of Section 16 of the Exchange Act with respect to their purchases and sales of the Ordinary Shares.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Our Economic Model</w:t>
      </w:r>
    </w:p>
    <w:p>
      <w:pPr>
        <w:spacing w:after="0" w:line="25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Pagaya’s revenues are primarily derived from Network Volume. We define Network Volume as the gross dollar value of assets originated by our Partners with the assistance of our artificial intelligence (“AI”) technology</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and, with respect to single-family rental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primarily earn AI integration fees for the creation and delivery of the assets that comprise our Network Volume.</w:t>
      </w:r>
    </w:p>
    <w:p>
      <w:pPr>
        <w:spacing w:after="0" w:line="2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Capital markets execution and contract fees are primarily earned from investors. Multiple funding channels are utilized to enable the purchase of network assets from our Partners, such as asset backed securitizations. Capital markets execution fees are primarily earned from the market pricing of ABS transactions while contract fees are management, performance and similar fees.</w:t>
      </w:r>
    </w:p>
    <w:p>
      <w:pPr>
        <w:spacing w:after="0" w:line="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Additionally, we earn interest income from our risk retention holdings and our corporate cash balances and investment income associated with our ownership interests in certain Financing Vehicles and other proprietary investments.</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Additionally, we have built what we believe to be a leading data science and AI organization that has enabled us to assist our Partners as they make decisions to extend credit to consumers or for the identification and purchase, or property management, of single-family rental properties. Excluding Production Costs, headcount, technology overhead and research and development expenses represent the significant portion of our expenses.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Expanded Usage of Our Network by Our Existing Partners</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Additionally, we continue to introduce and develop new lines of business, asset types, and products and services, enabling Partners to expand their relationship with Pagaya and further increase origination volumes.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Adoption of Our Network by New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14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3" w:lineRule="exact"/>
        <w:rPr>
          <w:sz w:val="20"/>
          <w:szCs w:val="20"/>
          <w:color w:val="auto"/>
        </w:rPr>
      </w:pPr>
    </w:p>
    <w:p>
      <w:pPr>
        <w:jc w:val="both"/>
        <w:ind w:right="80" w:firstLine="8"/>
        <w:spacing w:after="0" w:line="233" w:lineRule="auto"/>
        <w:tabs>
          <w:tab w:leader="none" w:pos="107"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Continued Improvements to Our AI Technology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$2.9 trillion in application volume.</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Availability and Pricing of Funding from Investors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Regardless of market conditions, the availability and pricing of funding from investors is critical to our growth. We have diversified our investor network and will continue to seek to further diversify our investor base. In the six months ended June 30, 2025, our top 5 ABS investors contributed approximately 52% of our total ABS funding compared to 54% in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9240" cy="2160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of Assets Originated with the Assistance of Our Proprietary Technology</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See “</w:t>
      </w:r>
      <w:r>
        <w:rPr>
          <w:rFonts w:ascii="Times New Roman" w:cs="Times New Roman" w:eastAsia="Times New Roman" w:hAnsi="Times New Roman"/>
          <w:sz w:val="16"/>
          <w:szCs w:val="16"/>
          <w:i w:val="1"/>
          <w:iCs w:val="1"/>
          <w:color w:val="auto"/>
        </w:rPr>
        <w:t>Risk Factors—Risks Related to the Operations of Our Business</w:t>
      </w:r>
      <w:r>
        <w:rPr>
          <w:rFonts w:ascii="Times New Roman" w:cs="Times New Roman" w:eastAsia="Times New Roman" w:hAnsi="Times New Roman"/>
          <w:sz w:val="16"/>
          <w:szCs w:val="16"/>
          <w:color w:val="auto"/>
        </w:rPr>
        <w:t>” in our Annual Report on Form 10-K, which was filed with the SEC on March 12,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Macroeconomic Cycles and Global and Regional Conditions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 The war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Israel and Gaza, which escalated following the October 7, 2023, attacks by a terrorist organization primarily based in the Gaza Strip, remains a source of uncertainty. While the conflict has not materially disrupted our operations to date, its potential to intensify or expand, coupled with related instability in the Middle East, could adversely impact regional and global economic conditions, energy prices, and investor confidence. Such developments may increase volatility in financial markets, elevate operating costs, or constrain funding availability, potentially affecting our business, financial condition, results of operations, and prospects. We continue to monitor the situation closely, though no significant direct impact has been observed as of the date of this Report. The Russia-Ukraine conflict, ongoing since February 2022, persists with no clear resolution as of mid-2025. While we have not experienced material impacts on our business from this conflict, prolonged hostilities or further escalation, such as expanded sanctions, disruptions to energy markets, or broader economic fallout, could exacerbate global inflationary pressures and supply chain challenges. These factors may indirectly influence consumer credit demand, investor appetite for risk assets, and our Network Volume. We assess this risk as manageable but remain vigilant given its potential to contribute to wider economic disruptions.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Macroeconomic pressures, including sustained high interest rates and inflation, continue to shape our operating environment. Central banks, including the Federal Reserve, have maintained elevated rates into mid-2025 to combat inflationary trends, increasing borrowing costs and potentially straining borrowers’ ability to service debt. This could lead to higher delinquencies, defaults, and charge-offs, reducing investor returns and dampening demand for assets generated on our platform. Inflation, though moderating from its 2022-2023 peak, remains above historical norms, driving up operating costs such as employee compensation, financing expenses, and technology investments. These pressures have been partially offset by operational efficiencies and growth in application volume from our Partners, supporting net growth in Network Volume despite a higher cost of capital. Global supply chain disruptions, exacerbated by geopolitical tensions and extreme weather events linked to climate change, continue to challenge economic stability. These disruptions may indirectly affect our Partners’ ability to serve customers and could increase costs across our network.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Strong Partner application volume has mitigated this impact, sustaining Network Volume growth through 2024 and into mid-2025. Adverse developments in the financial sector, such as regional bank stresses, liquidity concerns, or prolonged U.S. federal debt ceiling debates, could further complicate our operating landscape. In 2024, isolated bank failures and downgrades sparked temporary market volatility, though our direct exposure remains limited.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though we have not yet seen significant effects on our operations. Economic downturns or prolonged uncertainty may pressure the performance of assets acquired by Financing Vehicles from our network. However, these conditions also provide valuable data to refine our AI technology, enhancing our ability to adapt to shifting market dynamics and deliver value to Partners and investors. Historical events like the COVID-19 pandemic and the current inflationary period have underscored the resilience of our platform, validating its outcomes even amid volatility. For a detailed discussion of uncertainties and other factors that could impact our operating results,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in our Annual Report on Form 10-K, which was filed with the SEC on March 12, 2025.</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Operating Metric</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we consider Network Volume to be a key operating metric we use to evaluate our business. The following table sets forth our Network Volume for the three and six months ended June 30, 2025 and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Pr>
          <w:p>
            <w:pPr>
              <w:spacing w:after="0"/>
              <w:rPr>
                <w:sz w:val="18"/>
                <w:szCs w:val="18"/>
                <w:color w:val="auto"/>
              </w:rPr>
            </w:pPr>
          </w:p>
        </w:tc>
        <w:tc>
          <w:tcPr>
            <w:tcW w:w="314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7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Network Volume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2,648</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5,048</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Network Volume</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believe the Network Volume metric to be a helpful indicator for our overall scale and reach, as we generate revenue primarily on the basis of Network Volume. In addition, Network Volume directly influences Fee Revenue Less Production Cost (FRLPC), a key non-GAAP measure we use to assess operational efficiency. While maintaining a focus on profitable growth, which may result in a different targeted volume mix, we believe the growth in Network Volume highlights the scalability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which, in turn, affects our operational leverage and profitability. Network Volume is primarily driven by our relationships with our Partners and SFR Partners. We believe Network Volume has benefited from continuous improvements to our proprietary technology, enabling our network to more effectively identify assets for acquisition by the Financing Vehicles, thereby providing additional investment opportunities to investors. As a result, when viewed in combination with financial profitability metrics,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residential real estate, and point-of-sale receivables.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 Revenue from fees is inclusive of network AI fees and contract fees.</w:t>
      </w:r>
    </w:p>
    <w:p>
      <w:pPr>
        <w:spacing w:after="0" w:line="16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Network AI fees. </w:t>
      </w:r>
      <w:r>
        <w:rPr>
          <w:rFonts w:ascii="Times New Roman" w:cs="Times New Roman" w:eastAsia="Times New Roman" w:hAnsi="Times New Roman"/>
          <w:sz w:val="16"/>
          <w:szCs w:val="16"/>
          <w:color w:val="auto"/>
        </w:rPr>
        <w:t>Network AI fees can be further broken down into two fee streams: AI integration fees and capital markets execution fees. We earn AI integration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for the creation and delivery of the assets that comprise our Network Volume. Multiple funding channels are used to enable the purchase of network assets from our Partners, such as ABS, pass-through and forward flow transactions. Capital markets execution fees are earned when a pre-funded, Pagaya-sponsored ABS vehicle is sold by underwriters.</w:t>
      </w:r>
    </w:p>
    <w:p>
      <w:pPr>
        <w:spacing w:after="0" w:line="108"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Contract fees. </w:t>
      </w:r>
      <w:r>
        <w:rPr>
          <w:rFonts w:ascii="Times New Roman" w:cs="Times New Roman" w:eastAsia="Times New Roman" w:hAnsi="Times New Roman"/>
          <w:sz w:val="16"/>
          <w:szCs w:val="16"/>
          <w:color w:val="auto"/>
        </w:rPr>
        <w:t>Contract fees primarily include administration and management fees, and performance fees. Administration and management fees are contracted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the establishment of Financing Vehicles and these fees are earned as the Financing Vehicle purchase loans and as the Company provides services over their remaining lives, except for the portion management fees that are recognized at the point in time based on contract terms.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Performance fees are earned when certain Financing Vehicles exceed contractual return hurdles and a significant reversal in the amount of cumulative revenue recognized is not expected to occur.</w:t>
      </w:r>
    </w:p>
    <w:p>
      <w:pPr>
        <w:spacing w:after="0" w:line="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also earn interest income from our risk retention holdings and cash balances and investment income associated with our ownership interests in certain Financing Vehicles and other proprietary investments.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 Costs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single-family rental properties.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Technology, data and product development expenses primarily comprise costs associated with the maintenance and ongoing development of our network and AI technology, including personnel,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Expenses, Net</w:t>
      </w:r>
    </w:p>
    <w:p>
      <w:pPr>
        <w:spacing w:after="0" w:line="2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Other expenses, net primarily consists of changes in the fair value of warrant liabilities and other items, including credit-related impairment losses on investments in loans and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Attributable to Noncontrolling Interests</w:t>
      </w:r>
    </w:p>
    <w:p>
      <w:pPr>
        <w:spacing w:after="0" w:line="2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Net income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operating results for the periods indicated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24"/>
                <w:szCs w:val="24"/>
                <w:color w:val="auto"/>
              </w:rPr>
            </w:pPr>
          </w:p>
        </w:tc>
        <w:tc>
          <w:tcPr>
            <w:tcW w:w="23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 from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317,714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600,418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479,598</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 (loss) income, net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495,620</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Production costs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290,483</w:t>
            </w:r>
          </w:p>
        </w:tc>
        <w:tc>
          <w:tcPr>
            <w:tcW w:w="0" w:type="dxa"/>
            <w:vAlign w:val="bottom"/>
          </w:tcPr>
          <w:p>
            <w:pPr>
              <w:spacing w:after="0"/>
              <w:rPr>
                <w:sz w:val="1"/>
                <w:szCs w:val="1"/>
                <w:color w:val="auto"/>
              </w:rPr>
            </w:pPr>
          </w:p>
        </w:tc>
      </w:tr>
      <w:tr>
        <w:trPr>
          <w:trHeight w:val="213"/>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Technology, data and product development (1)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 and marketing (1)</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General and administrative (1)</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86,532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127,517</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512,233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482,903</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(107,543)</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(94,826)</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Including Noncontrolling Interests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(114,341)</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0" w:type="dxa"/>
            <w:vAlign w:val="bottom"/>
          </w:tcPr>
          <w:p>
            <w:pPr>
              <w:spacing w:after="0"/>
              <w:rPr>
                <w:sz w:val="1"/>
                <w:szCs w:val="1"/>
                <w:color w:val="auto"/>
              </w:rPr>
            </w:pPr>
          </w:p>
        </w:tc>
      </w:tr>
      <w:tr>
        <w:trPr>
          <w:trHeight w:val="21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Pagaya Technologies Ltd.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Pagaya Technologies Ltd.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Undistributed earnings allocated to preferred shares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Pagaya Technologies Ltd.’s ordinary shares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 attributable to Pagaya Technologies Ltd.’s ordinary shares: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gridSpan w:val="2"/>
            <w:vMerge w:val="continue"/>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7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1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0.29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7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76,873,529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71,765,884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76,347,801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68,113,860</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79,667,635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71,765,884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78,301,110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68,113,860</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following table sets forth share-based compensation for the periods indicated below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8"/>
                <w:szCs w:val="18"/>
                <w:color w:val="auto"/>
              </w:rPr>
            </w:pPr>
          </w:p>
        </w:tc>
        <w:tc>
          <w:tcPr>
            <w:tcW w:w="23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6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w:t>
            </w:r>
          </w:p>
        </w:tc>
      </w:tr>
      <w:tr>
        <w:trPr>
          <w:trHeight w:val="212"/>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share-based compensation in operating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33,519</w:t>
            </w: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Three Months Ended June 30, 2025 and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622"/>
        </w:trPr>
        <w:tc>
          <w:tcPr>
            <w:tcW w:w="1160" w:type="dxa"/>
            <w:vAlign w:val="bottom"/>
            <w:tcBorders>
              <w:top w:val="single" w:sz="8" w:color="0000FF"/>
            </w:tcBorders>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11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r>
      <w:tr>
        <w:trPr>
          <w:trHeight w:val="33"/>
        </w:trPr>
        <w:tc>
          <w:tcPr>
            <w:tcW w:w="4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4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from fees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75,120</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3"/>
        </w:trPr>
        <w:tc>
          <w:tcPr>
            <w:tcW w:w="4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9"/>
        </w:trPr>
        <w:tc>
          <w:tcPr>
            <w:tcW w:w="4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loss,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07"/>
        </w:trPr>
        <w:tc>
          <w:tcPr>
            <w:tcW w:w="4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 Revenue and Other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326,398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250,344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76,054</w:t>
            </w:r>
          </w:p>
        </w:tc>
        <w:tc>
          <w:tcPr>
            <w:tcW w:w="12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200" w:lineRule="exact"/>
        <w:rPr>
          <w:sz w:val="20"/>
          <w:szCs w:val="20"/>
          <w:color w:val="auto"/>
        </w:rPr>
      </w:pPr>
    </w:p>
    <w:p>
      <w:pPr>
        <w:spacing w:after="0" w:line="31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Total revenue and other income, increased by $76.1 million, or 30%, to $326.4 million for the three months ended June 30, 2025 from $250.3 million for the three months ended June 30, 2024. The increase was primarily driven by an increase in revenue from fees and interest income, partially offset by an increase in investment loss, net.</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Revenue from fees for the three months ended June 30, 2025 increased by $75.1 million, or 31%, to $317.7 million, compared to the same period in 2024. The increase was primarily due to a $64.1 million increase in Network AI fees, comprised of AI integration fees and capital markets execution fees, from $221.8 million for the three months ended June 30, 2024 to $285.9 million for the three months ended June 30, 2025. The increase in Network AI fees was primarily driven by improved economics in AI integration fees earned from certain Partners, as well as the growth in Network Volume, which increased by 13.6% from $2.3 billion for the three months ended June 30, 2024 to $2.6 billion for the three months ended June 30, 2025. These increases were partially offset by a decrease in capital markets execution fees earned from our ABS and forward flow transactions during the three months ended June 30, 2025.</w:t>
      </w:r>
    </w:p>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Contract fees, comprised of administration and management fees, performances fees, and servicing fees, increased by $11.0 million from $20.8 million for the three months ended June 30, 2024 to $31.8 million for the three months ended June 30, 2025, reflecting an increase in net asset values of the assets held by certain Financing Vehicles driven by continued business growth.</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Interest income increased by $2.5 million, or 31%, to $10.7 million for the three months ended June 30, 2025 from $8.2 million for the three months ended June 30, 2024. The increase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increase in interest income was primarily the result of changes in structure and composition of asset portfolio.</w:t>
      </w:r>
    </w:p>
    <w:p>
      <w:pPr>
        <w:spacing w:after="0" w:line="22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Investment loss increased by $1.6 million to $2.1 million for the three months ended June 30, 2025, reflecting an unfavorable impact from the change in valuation of certain proprietary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4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r>
      <w:tr>
        <w:trPr>
          <w:trHeight w:val="213"/>
        </w:trPr>
        <w:tc>
          <w:tcPr>
            <w:tcW w:w="4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21,935</w:t>
            </w:r>
          </w:p>
        </w:tc>
      </w:tr>
      <w:tr>
        <w:trPr>
          <w:trHeight w:val="219"/>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r>
      <w:tr>
        <w:trPr>
          <w:trHeight w:val="213"/>
        </w:trPr>
        <w:tc>
          <w:tcPr>
            <w:tcW w:w="4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64,449</w:t>
            </w:r>
          </w:p>
        </w:tc>
      </w:tr>
      <w:tr>
        <w:trPr>
          <w:trHeight w:val="212"/>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269,929</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245,317</w:t>
            </w:r>
          </w:p>
        </w:tc>
      </w:tr>
      <w:tr>
        <w:trPr>
          <w:trHeight w:val="514"/>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Production Costs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4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191,465</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Production costs increased by $45.9 million, or 31%, to $191.5 million for the three months ended June 30, 2025 from $145.6 million for the three months ended June 30, 2024. This increase was due to an increase in the Network Volume attributable to business growth in addition to the composition of the asset classes that make up our Network Volume.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21,935</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(3,480)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3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Technology, data and product development costs for the three months ended June 30, 2025 decreased $3.5 million, or 16%, compared to the same period in 2024. The decrease was driven by a $2.0 million decrease in compensation expenses and a $1.9 million decrease in depreciation expense, including impairment charges for capitalized software development costs, partially offset by a $0.6 million increase in amortization of intangible assets.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three months ended June 30, 2025 and 2024, we capitalized $4.0 million and $5.9 million of software development costs, respectively. Depreciation expense, including impairment charges for capitalized software development costs was $5.9 million and $7.9 million during the three months ended June 30, 2025 and 2024,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Sales and Marketing</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699"/>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6,329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bl>
    <w:p>
      <w:pPr>
        <w:spacing w:after="0" w:line="2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Sales and marketing costs for the three months ended June 30, 2025 increased by $6.3 million, compared to the same period in 2024. The increase was primarily driven by higher compensation expenses, including shared-based compensation.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73"/>
        </w:trPr>
        <w:tc>
          <w:tcPr>
            <w:tcW w:w="4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40,349</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64,449</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(24,100)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bl>
    <w:p>
      <w:pPr>
        <w:spacing w:after="0" w:line="32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General and administrative costs for the three months ended June 30, 2025 decreased by $24.1 million, or 37%, compared to the same period in 2024. The decrease was primarily driven by a $11.4 million lower loss from loan purchases and a $8.8 million decrease in compensation expenses during the three months ended June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799"/>
              <w:spacing w:after="0"/>
              <w:rPr>
                <w:sz w:val="20"/>
                <w:szCs w:val="20"/>
                <w:color w:val="auto"/>
              </w:rPr>
            </w:pPr>
            <w:r>
              <w:rPr>
                <w:rFonts w:ascii="Times New Roman" w:cs="Times New Roman" w:eastAsia="Times New Roman" w:hAnsi="Times New Roman"/>
                <w:sz w:val="16"/>
                <w:szCs w:val="16"/>
                <w:color w:val="auto"/>
              </w:rPr>
              <w:t>Other expense,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(34,928)</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38,266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r>
    </w:tbl>
    <w:p>
      <w:pPr>
        <w:spacing w:after="0" w:line="3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Other expense, net for the three months ended June 30, 2025 decreased $38.3 million compared to the same period in 2024. The decrease was primarily due to a $38.0 million decrease in credit-related impairment loss on certain investments from $53.6 million in the prior period to $15.6 million in the current period, driven by changes in the fair value of investments in loans and securities as a result of fluctuations in key inputs to the discounted cash flow models used to determine fair value. Of the credit-related impairment loss of $15.6 million in the current period, $1.9 million is attributable to the noncontrolling interest in certain VIEs and accordingly, is not attributable to Pagaya Shareholders. Also contributing to the decrease was $2.8 million of gain from sales of certain investments in the current period, and a favorable impact of $2.2 million from a release of contingent liability associated with the acquisition of Theorem. These decreases were partially offset by higher interest expenses of $1.5 million.</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3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811"/>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(9,534)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bl>
    <w:p>
      <w:pPr>
        <w:spacing w:after="0" w:line="27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Income tax expense for the three months ended June 30, 2025 decreased $9.5 million, compared to the same period in 2024. The decrease was primarily driven by a decrease in discrete tax expenses during the three months ended June 30,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9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4"/>
        </w:trPr>
        <w:tc>
          <w:tcPr>
            <w:tcW w:w="4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280" w:type="dxa"/>
            <w:vAlign w:val="bottom"/>
          </w:tcPr>
          <w:p>
            <w:pPr>
              <w:spacing w:after="0"/>
              <w:rPr>
                <w:sz w:val="18"/>
                <w:szCs w:val="18"/>
                <w:color w:val="auto"/>
              </w:rPr>
            </w:pPr>
          </w:p>
        </w:tc>
      </w:tr>
      <w:tr>
        <w:trPr>
          <w:trHeight w:val="218"/>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7,802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r>
    </w:tbl>
    <w:p>
      <w:pPr>
        <w:spacing w:after="0" w:line="2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loss attributable to noncontrolling interests for the three months ended June 30, 2025 decreased $7.8 million compared to the same period in 2024. The decrease was driven by the net loss generated by our consolidated VIEs associated with our risk retention holdings. This amount represented the net loss of the consolidated VIEs to which we had no economic right and was the result of a lower credit-related impairment loss of $7.3 million on the risk retention holdings. For further information, see “— Total Revenue and Other Income” and “—Other Expense,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Comparison of Six Months Ended June 30, 2025 and 2024</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45"/>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9"/>
        </w:trPr>
        <w:tc>
          <w:tcPr>
            <w:tcW w:w="4180" w:type="dxa"/>
            <w:vAlign w:val="bottom"/>
          </w:tcPr>
          <w:p>
            <w:pPr>
              <w:spacing w:after="0"/>
              <w:rPr>
                <w:sz w:val="19"/>
                <w:szCs w:val="19"/>
                <w:color w:val="auto"/>
              </w:rPr>
            </w:pPr>
          </w:p>
        </w:tc>
        <w:tc>
          <w:tcPr>
            <w:tcW w:w="29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4"/>
        </w:trPr>
        <w:tc>
          <w:tcPr>
            <w:tcW w:w="4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4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r>
      <w:tr>
        <w:trPr>
          <w:trHeight w:val="33"/>
        </w:trPr>
        <w:tc>
          <w:tcPr>
            <w:tcW w:w="4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from fees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600,418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120,820</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3"/>
        </w:trPr>
        <w:tc>
          <w:tcPr>
            <w:tcW w:w="4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6"/>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(loss) income, net</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r>
      <w:tr>
        <w:trPr>
          <w:trHeight w:val="212"/>
        </w:trPr>
        <w:tc>
          <w:tcPr>
            <w:tcW w:w="4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 and Other Income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616,387</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495,620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120,767</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
        </w:trPr>
        <w:tc>
          <w:tcPr>
            <w:tcW w:w="4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Total revenue and other income, increased by $120.8 million, or 24%, to $616.4 million for the six months ended June 30, 2025 from $495.6 million for the six months ended June 30, 2024. The increase was primarily driven by an increase in revenue from fees, partially offset by a decrease in investment (loss) income.</w:t>
      </w:r>
    </w:p>
    <w:p>
      <w:pPr>
        <w:spacing w:after="0" w:line="1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Revenue from fees for the six months ended June 30, 2025 increased by $120.8 million, or 25%, to $600.4 million, compared to the same period in 2024. The increase was primarily due to a $102.3 million increase in Network AI fees, comprised of AI integration fees and capital markets execution fees, from $437.1 million for the six months ended June 30, 2024 to $539.3 million for the six months ended June 30, 2025. The increase in Network AI fees was primarily driven by improved economics of AI integration fees earned from certain Partners, as well as the growth in Network Volume, which increased by 6% from $4.8 billion for the six months ended June 30, 2024 to $5.0 billion for the six months ended June 30, 2025. These increases were partially offset by a decrease in capital markets execution fees earned from our ABS and forward flow transactions during the six months ended June 30, 2025.</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Contract fees, comprised of administration and management fees and performance fees, increased by $18.6 million from $42.5 million for the six months ended June 30, 2024 to $61.1 million for the six months ended June 30, 2025. This increase was due to higher net asset values of assets held by certain Financing Vehicles driven by continued business growth, and an increase in performance fees, as the prior period included a reversal of performance fees.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Interest income increased by $2.5 million, or 16%, to $18.4 million for the six months ended June 30, 2025 from $15.9 million for the six months ended June 30, 2024. The increase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increase in interest income was primarily the result of changes in structure and composition of asset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Investment (loss) income decreased by $2.5 million to a loss of $2.4 million for the six months ended June 30, 2025 from an income of $0.1 million for six months ended June 30, 2024, reflecting an unfavorable impact from the change in valuation of certain proprietary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358,548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290,483</w:t>
            </w:r>
          </w:p>
        </w:tc>
        <w:tc>
          <w:tcPr>
            <w:tcW w:w="0" w:type="dxa"/>
            <w:vAlign w:val="bottom"/>
          </w:tcPr>
          <w:p>
            <w:pPr>
              <w:spacing w:after="0"/>
              <w:rPr>
                <w:sz w:val="1"/>
                <w:szCs w:val="1"/>
                <w:color w:val="auto"/>
              </w:rPr>
            </w:pPr>
          </w:p>
        </w:tc>
      </w:tr>
      <w:tr>
        <w:trPr>
          <w:trHeight w:val="21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86,532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127,517</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512,233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482,903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Production Costs</w:t>
            </w: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46"/>
        </w:trPr>
        <w:tc>
          <w:tcPr>
            <w:tcW w:w="4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358,548</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290,483</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Production costs increased by $68.1 million, or 23%, to $358.5 million for the six months ended June 30, 2025 from $290.5 million for the six months ended June 30, 2024. This increase was due to an increase in the Network Volume attributable to business growth in addition to the composition of the asset classes that make up our Network Volume.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44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37,899</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(3,416)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3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Technology, data and product development costs for the six months ended June 30, 2025 decreased $3.4 million, or 8%, compared to the same period in 2024. This decrease was primarily driven by a $4.3 million decrease in compensation expense and a $1.3 million decrease in depreciation expense, including impairment charges for capitalized software development costs, partially offset by a $1.2 million increase in amortization of intangible assets and a $0.7 million increased in cloud server expenses.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the six months ended June 30, 2025 and 2024, we capitalized $8.4 million and $12.2 million of software development costs, respectively. Depreciation expense, including impairment charges for capitalized software development costs was $12.2 million and $13.5 million during the six months ended June 30, 2025 and 2024, respectively.</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Sales and Marketing</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699"/>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29,254</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5,666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Sales and marketing costs for the six months ended June 30, 2025 increased by $5.7 million compared to the same period in 2024. The increase was primarily driven by higher compensation expenses, including shared-based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22"/>
        </w:trPr>
        <w:tc>
          <w:tcPr>
            <w:tcW w:w="1160" w:type="dxa"/>
            <w:vAlign w:val="bottom"/>
            <w:tcBorders>
              <w:top w:val="single" w:sz="8" w:color="0000FF"/>
            </w:tcBorders>
          </w:tcPr>
          <w:p>
            <w:pPr>
              <w:spacing w:after="0"/>
              <w:rPr>
                <w:sz w:val="24"/>
                <w:szCs w:val="24"/>
                <w:color w:val="auto"/>
              </w:rPr>
            </w:pPr>
          </w:p>
        </w:tc>
        <w:tc>
          <w:tcPr>
            <w:tcW w:w="30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86,532</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127,517</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(40,985)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costs for the six months ended June 30, 2025 decreased by $41.0 million</w:t>
      </w:r>
      <w:r>
        <w:rPr>
          <w:rFonts w:ascii="Arial" w:cs="Arial" w:eastAsia="Arial" w:hAnsi="Arial"/>
          <w:sz w:val="21"/>
          <w:szCs w:val="21"/>
          <w:color w:val="auto"/>
        </w:rPr>
        <w:t>,</w:t>
      </w:r>
      <w:r>
        <w:rPr>
          <w:rFonts w:ascii="Times New Roman" w:cs="Times New Roman" w:eastAsia="Times New Roman" w:hAnsi="Times New Roman"/>
          <w:sz w:val="16"/>
          <w:szCs w:val="16"/>
          <w:color w:val="auto"/>
        </w:rPr>
        <w:t xml:space="preserve"> compared to the same period in 2024. The decrease was primarily</w:t>
      </w:r>
    </w:p>
    <w:p>
      <w:pPr>
        <w:spacing w:after="0" w:line="6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driven by a $14.6 million decrease in loss from loan purchases, a $13.9 million decrease in transaction costs charged to general and administrative costs, and a $10.7 million decrease in compensation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799"/>
              <w:spacing w:after="0"/>
              <w:rPr>
                <w:sz w:val="20"/>
                <w:szCs w:val="20"/>
                <w:color w:val="auto"/>
              </w:rPr>
            </w:pPr>
            <w:r>
              <w:rPr>
                <w:rFonts w:ascii="Times New Roman" w:cs="Times New Roman" w:eastAsia="Times New Roman" w:hAnsi="Times New Roman"/>
                <w:sz w:val="16"/>
                <w:szCs w:val="16"/>
                <w:color w:val="auto"/>
              </w:rPr>
              <w:t>Other expense,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(82,661)</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(107,543)</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24,882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bl>
    <w:p>
      <w:pPr>
        <w:spacing w:after="0" w:line="2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Other expense, net for the six months ended June 30, 2025 decreased $24.9 million, compared to the same period in 2024. The decrease was primarily due to a $24.2 million decrease in credit-related impairment loss on certain investments from $76.4 million in the prior period to $52.2 million in the current period, driven by changes in the fair value of investments in loans and securities as a result of fluctuations in key inputs to the discounted cash flow models used to determine fair value. Of the credit-related impairment loss of $52.2 million in the current period, $8.7 million is attributable to the noncontrolling interest in certain VIEs, and accordingly, is not attributable to Pagaya Shareholders. For further information, see “—Net Income (Loss) Attributable to Noncontrolling Interests.” Also contributing to the decrease was $8.7 million of gain from sales of certain investments in the current period, and a favorable impact of $5.4 million from a release of contingent liability associated with the acquisition of Theorem.</w:t>
      </w:r>
    </w:p>
    <w:p>
      <w:pPr>
        <w:spacing w:after="0" w:line="1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Theses decreases were partially offset by higher interest expenses of $7.6 million and an unfavorable impact from the change in fair value of warrant liability of $3.1 million.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719"/>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(17,077)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bl>
    <w:p>
      <w:pPr>
        <w:spacing w:after="0" w:line="27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Income tax expense for the six months ended June 30, 2025 decreased $17.1 million, compared to the same period in 2024. The decrease was primarily driven by a decrease in discrete tax expenses during the six months ended June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333333"/>
              </w:rPr>
              <w:t>Six Months Ended June 30,</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12,840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bl>
    <w:p>
      <w:pPr>
        <w:spacing w:after="0" w:line="2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loss attributable to noncontrolling interests for the six months ended June 30, 2025 decreased by $12.8 million, or 70%, compared to the same period in 2024. The decrease was driven by the net loss generated by our consolidated VIEs associated with our risk retention holdings. This amount represented the net loss of the consolidated VIEs to which we had no economic right and was the result of a lower credit-related impairment loss of $12.7 million on the risk retention holdings. For further information, see “—Total Revenue and Other Income” and “—Other Expense, Net.”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p>
      <w:pPr>
        <w:spacing w:after="0" w:line="2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To supplement our consolidated financial statements prepared and presented in accordance with U.S. GAAP, we use the non-GAAP financial measures FRLPC, Fee Revenue Less Production Costs as percentage of Network Volume (FRLPC %), Adjusted Net Income, and Adjusted EBITDA to provide investors with additional information about our financial performance and to enhance the overall understanding of the results of operations by highlighting the results from ongoing operations and the</w:t>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underlying profitability of our business. We are presenting these non-GAAP financial measures because we believe they provide an additional tool for investors to use in comparing our core financial performance over multiple periods with the performance of other companies.</w:t>
      </w:r>
    </w:p>
    <w:p>
      <w:pPr>
        <w:spacing w:after="0" w:line="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 address these limitations, we provide a reconciliation of FRLPC, FRLPC %, Adjusted Net Income, and Adjusted EBITDA to the most directly comparable U.S. GAAP measure. We encourage investors and others to review our financial information in its entirety, not to rely on any single financial measure and to view FRLPC, FRLPC %, Adjusted Net Income, and Adjusted EBITDA in conjunction with their respective related U.S. GAAP financial measures.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FRLPC, FRLPC %, Adjusted Net Income, and Adjusted EBITDA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FRLPC, FRLPC %, Adjusted Net Income, and Adjusted EBITDA for the three and six months ended June 30, 2025 and 2024 are summarized below ($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Revenue Less Production Cost (FRLPC)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126,249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5"/>
              </w:rPr>
              <w:t>96,992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241,870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189,115</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 Revenue Less Production Costs % (FRLPC %)</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50,624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103,813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20,519</w:t>
            </w: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86,283</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5"/>
              </w:rPr>
              <w:t>50,305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165,866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90,120</w:t>
            </w:r>
          </w:p>
        </w:tc>
      </w:tr>
    </w:tbl>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FRLPC is defined as revenue from fees less production costs. We use FRLPC as part of overall assessment of performance, including the preparation of our annual budget and quarterly forecasts, to evaluate the effectiveness of our business strategies, and to communicate with our Board of Directors concerning our financial performance. The Company is including a reconciliation between FRLPC and operating income, which we consider the most directly comparable GAAP financial measure. FRLPC is designed to assess operational efficiency by measuring fee revenue against production costs, excluding operating expenses not directly tied to revenue production, such as technology development, sales and marketing, and general and administrative costs. FRLPC is intended to highlight the scalability of our platform as Network Volume (the gross dollar amount of assets originated or services rendered using our technology) increases, demonstrating our ability to efficiently generate fee revenue while managing production costs. FRLPC %, defined as FRLPC divided by Network Volume, further illustrates this efficiency, showing how effectively we convert Network Volume into fee revenue relative to production costs as our platform scales.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Adjusted Net Income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and non-recurring expenses associated with mergers and acquisitions. Adjusted EBITDA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non-recurring expenses associated with mergers and acquisitions, interest expense, depreciation expense, and provision (and benefit from) for income taxes. 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believe FRLPC, FRLPC %, Adjusted Net Income, and Adjusted EBITDA provide useful information to investors and others in understanding and evaluating our results of operations, as well as providing a useful measure for period-to-period comparisons of our business performance. Moreover, we have included FRLPC, FRLPC %, Adjusted Net Income, and Adjusted EBITDA in this report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or superior to financial information presented in accordance with U.S. GAAP and may be different from similarly titled non-GAAP financial measures used by other companies.</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tables present reconciliations of FRLPC to Operating Income, and Adjusted EBITDA to Net Income Attributable to Pagaya Technologies Ltd., in each case the most directly comparable U.S. GAAP measure ($ in thousands, unless otherwise noted):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8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8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56,469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104,154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12,717</w:t>
            </w: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Technology, data and product development</w:t>
            </w: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41,315</w:t>
            </w:r>
          </w:p>
        </w:tc>
      </w:tr>
      <w:tr>
        <w:trPr>
          <w:trHeight w:val="21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Sales and marketing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23,588</w:t>
            </w: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General and administrative</w:t>
            </w: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40,349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64,449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86,532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127,517</w:t>
            </w:r>
          </w:p>
        </w:tc>
      </w:tr>
      <w:tr>
        <w:trPr>
          <w:trHeight w:val="21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15,937</w:t>
            </w:r>
          </w:p>
        </w:tc>
      </w:tr>
      <w:tr>
        <w:trPr>
          <w:trHeight w:val="213"/>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Investment (loss) income, net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(2,055)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Less Production Costs (FRLPC)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126,249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96,992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241,870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189,115</w:t>
            </w:r>
          </w:p>
        </w:tc>
      </w:tr>
      <w:tr>
        <w:trPr>
          <w:trHeight w:val="207"/>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 Volume (in millions)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2,648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Less Production Costs % (FRLPC %)</w:t>
            </w: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58"/>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9"/>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24"/>
                <w:szCs w:val="24"/>
                <w:color w:val="auto"/>
              </w:rPr>
            </w:pPr>
          </w:p>
        </w:tc>
        <w:tc>
          <w:tcPr>
            <w:tcW w:w="266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8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Pagaya Technologies Ltd.</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(74,785)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24,548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(96,008)</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to contingent liability</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 to warrant liability</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on certain investments, net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44,522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77,662</w:t>
            </w: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 of capitalized software</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Transaction-related expenses</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Non-recurring expenses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2"/>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50,624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103,813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20,519</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expenses</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44,300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36,727</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19,515</w:t>
            </w: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13,359</w:t>
            </w:r>
          </w:p>
        </w:tc>
      </w:tr>
      <w:tr>
        <w:trPr>
          <w:trHeight w:val="209"/>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86,283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50,305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165,866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90,120</w:t>
            </w:r>
          </w:p>
        </w:tc>
      </w:tr>
      <w:tr>
        <w:trPr>
          <w:trHeight w:val="21"/>
        </w:trPr>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2025 and December 31, 2024, the principal sources of liquidity were cash, cash equivalents, current and non-current restricted cash of $242.0 million and $226.5 million, respectively. We believe these sources will be sufficient to meet our current liquidity needs for the next twelve months, from the date of issuance of the unaudited condensed consolidated financial statements included elsewhere in this Form 10-Q, and be sufficient to support our future cash needs, however, we can provide no assurance that our liquidity and capital resources will meet future funding requirements.</w:t>
      </w: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primary requirements for liquidity and capital resources are to purchase and finance risk retention requirements, invest in technology, data and product development and to attract, recruit and retain a strong employee base, as well as to fund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strategic transactions, including acquisitions, if any. We intend to continue to make strategic investments to support our business plans.</w:t>
      </w:r>
    </w:p>
    <w:p>
      <w:pPr>
        <w:spacing w:after="0" w:line="24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do not have capital expenditure commitments as the vast majority of our capital expenditures relate to the capitalization of certain compensation and non-compensation expenditures used in the development and improvement of our proprietary technology.</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expect to fund our operations with existing cash and cash equivalents, cash generated from operations, including cash flows from investments in loans and securities, and additional secured borrowings, including repurchase agreements. We may also raise additional capital, including through borrowings under the credit facility (see further description of the credit facility below in the section titled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or through the sale or issuance of equity or debt securities, as described below in the sections titled “</w:t>
      </w:r>
      <w:r>
        <w:rPr>
          <w:rFonts w:ascii="Times New Roman" w:cs="Times New Roman" w:eastAsia="Times New Roman" w:hAnsi="Times New Roman"/>
          <w:sz w:val="16"/>
          <w:szCs w:val="16"/>
          <w:i w:val="1"/>
          <w:iCs w:val="1"/>
          <w:color w:val="auto"/>
        </w:rPr>
        <w:t>Shelf Registration Statement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Senior Note Issuance</w:t>
      </w:r>
      <w:r>
        <w:rPr>
          <w:rFonts w:ascii="Times New Roman" w:cs="Times New Roman" w:eastAsia="Times New Roman" w:hAnsi="Times New Roman"/>
          <w:sz w:val="16"/>
          <w:szCs w:val="16"/>
          <w:color w:val="auto"/>
        </w:rPr>
        <w:t>,”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borrowings, or equity financing. The rates, terms, covenants and availability of such additional financing is not guaranteed and will be dependent on not only macro-economic factors, but also on Pagaya-specific factors such as the results of our operations and the returns generated by loans originated with the assistance of our AI Technology.</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“Risk Factors” in our Annual Report on Form 10-K, which was filed with the SEC on March 12, 2025.</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we will receive the proceeds from any exercise of any public warrants and private placement warrants in cash. Each public warrant and each private placement warrant that was issued and exchanged for each EJFA Private Placement Warrant in the EJFA Merger entitles the holder thereof to purchase one Class A Ordinary Share at a price of $138 per share (as adjusted for the 1-for-12 reverse share split). Following the 1-for-12 reverse share split effective March 2024, each warrant entitles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As of August 6, 2025, the price of our Class A Ordinary Shares was $31.36 per share. We believe the likelihood that warrant holders will exercise their public warrants and private placement warrants that were issued and exchanged for EJFA Private Placement Warrants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and private placement warrants that were issued and exchanged for EJFA Private Placement Warrants in the EJFA Merger. To the extent the public warrants and private placement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which was filed with the SEC on March 12, 2025.</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more of our plans could be materially different than expected or that one or more of the significant judgments or estimates could prove to be materially incorrect.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Securitizations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connection with asset-backed securitizations, we sponsor and establish securitization vehicles to purchase loans originated by our Partners.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To comply with risk retention regulatory requirements, we retain at least 5% of the securities issued by securitization vehicles and may choose to hold more than 5% depending on many factors. This 5% risk retention is determined based on the fair value of the securities under US GAAP at the time of closing. In ordinary course of business, we enter into certain financing arrangements to finance our risk retention balance in certain notes and securities retained from securitization transactions. From time to time, the Company makes cash deposits that serve to collateralize guarantees for related transactions, included in restricted cash on the consolidated balance sheets. For further information, see Note 4 and Note 5, respectively, to our unaudited condensed consolidated financial statements included elsewhere in this Quarterly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Shelf Registration Statement</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summarized consolidated cash flow information for the periods presented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60" w:type="dxa"/>
            <w:vAlign w:val="bottom"/>
            <w:tcBorders>
              <w:bottom w:val="single" w:sz="8" w:color="auto"/>
            </w:tcBorders>
          </w:tcPr>
          <w:p>
            <w:pPr>
              <w:spacing w:after="0"/>
              <w:rPr>
                <w:sz w:val="18"/>
                <w:szCs w:val="18"/>
                <w:color w:val="auto"/>
              </w:rPr>
            </w:pPr>
          </w:p>
        </w:tc>
      </w:tr>
      <w:tr>
        <w:trPr>
          <w:trHeight w:val="211"/>
        </w:trPr>
        <w:tc>
          <w:tcPr>
            <w:tcW w:w="78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27,004</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(152,192)</w:t>
            </w:r>
          </w:p>
        </w:tc>
        <w:tc>
          <w:tcPr>
            <w:tcW w:w="8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(342,330)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362,434</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primary uses of cash in operating activities are for ordinary course of business, with the primary use related to employee and personnel-related expenses. As of June 30, 2025, we had 524 employees compared to 591 on June 30, 2024. During the the first and second quarters of 2024, we reduced our headcount by over 20% across our Israel and U.S. offices. This reduction in workforce enabled us to streamline our operations resulting in cost savings.</w:t>
      </w:r>
    </w:p>
    <w:p>
      <w:pPr>
        <w:spacing w:after="0" w:line="1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Net cash provided by operating activities for the six months ended June 30, 2025 was $91.8 million, an increase of $64.8 million from net cash provided by operating activities of $27.0 million for the same period in 2024. This reflects our net income including noncontrolling interests of $19.1 million, adjusted for non-cash charges of $103.8 million, and net cash outflows of $31.1 million from changes in our operating assets net of operating liabilities.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Non-cash charges during six months ended June 30, 2025 primarily consisted of (1) impairment losses on investments in loans and securities, which decreased by $25.4 million compared to the same period in 2024, driven by changes in the fair value of investments in loans and securities as a result of fluctuations in key inputs to the discounted cash flow models used to determine fair value, of which $8.7 million is not attributable to Pagaya, but rather attributable to the VIEs noncontrolling interests, (2) share-based compensation, which decreased by $2.1 million compared to the same period in 2024,, (3) depreciation and amortization, which increased by $2.0 million compared to the same period in 2024, primarily from capitalized software,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fair value adjustment to warrant liability, which increased by $3.1 million compared to the same period in 2024, driven by changes in the market price of our Class A Ordinary Shares.</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net cash flows resulting from changes in operating assets and liabilities decreased by $43.2 million to net cash outflows of $31.1 million for the six months ended June 30, 2025 compared to net cash inflows of $12.1 million for the same period in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primary uses of cash in investing activities are the purchase of risk retention assets of sponsored securitization vehicles and investments in equity method and other investments.</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For the six months ended June 30, 2025, net cash used in investing activities totaled $152.2 million, primarily driven by purchases of risk retention assets. These purchases of risk retention assets amounted to $274.1 million, a decrease of $134.3 million compared to the prior period, driven by diversified funding channels, including asset-backed securitization, pass-through and forward flow transactions, in the current period. This cash outflow was partially offset by proceeds received from existing risk retention assets, which totaled $129.4 million, an increase of $53.6 million compared to the prior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50"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16"/>
          <w:szCs w:val="16"/>
          <w:color w:val="auto"/>
        </w:rPr>
        <w:t>For the six months ended June 30, 2025, net cash provided by financing activities of $74.7 million was primarily attributable to $244.9 million of proceeds from secured borrowing, partially offset by $156.9 million of repayments made to secured borrowing and $8.9 million of repayments made to long-term debt.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Facility</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April 2025, Pagaya Structured Products LLC, a wholly-owned subsidiary, entered into a Loan and Security Agreement (the “LSA Agreement”) with certain lenders. This agreement established a 24-months Capitalized Interest Amounts Facility (the “CIA Facility”) with a maximum principal amount of $24 million to finance eligible capitalized interest amounts related to sponsored securitization transactions. Additionally, in June 2025, Pagaya Structured Products LLC entered into a 30-months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Secured Overnight Financing Rate (“SOFR”) (subject to a 1.00% floor) plus a margin of 4.00%, while the ALPF Facility bear interest at a rate per annum equal to the adjusted term SOFR (subject to a 1.00% floor) plus a margin of 1.9%. As of June 30, 2025, the outstanding principal balance under the CIA Facility and ALPF Facility was $70.8 million, which is recorded within secured borrowing on the consolidated balance sheet.</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June 2025, Pagaya Receivables LLC, a wholly-owned subsidiary, repaid the outstanding balance of a 3-year loan facility (the “SVB Receivables Facility) and terminated the related LSA Agreement, which was originally executed in October 2022. Borrowings under the SVB Receivables Facility bear interest at a rate per annum equal to the adjusted term Secured Overnight Financing Rate (subject to a 0.00% floor) plus a margin of 3.50%. As of December 31, 2024, the outstanding principal balance under the SVB Receivable Facility was $31.9 million, which is recorded within secured borrowing on the unaudited condensed consolidated balance sheet.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 Issuance</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July 28, 2025, the Company, through Pagaya US Holding Company LLC (“Pagaya US”), a wholly-owned subsidiary of the Company, completed the issuance of $500 million aggregate principal amount of Senior Unsecured Notes (“Senior Notes”) due 2030. The Senior Notes will accrue interest at a rate of 8.875% per annum, payable semi-annually in arrears on February 1 and August 1 of each year, beginning on February 1, 2026. The Senior Notes will mature on August 1, 2030, unless earlier repurchased or redeemed. The Senior Notes will be fully and unconditionally guaranteed, on a senior unsecured basis, by the Company and each of the Company’s subsidiaries (other than Pagaya US) that is a guarantor under its existing credit agreement (collectively, the “Guarantors”). The Senior Notes and the related note guarantees will be senior unsecured obligations of Pagaya US and the Guarantors.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Senior Notes will be redeemable at the option of Pagaya US. At any time prior to August 1, 2027, Pagaya US may redeem the Senior Notes, in whole or in part, at its option at a redemption price equal to 100% of the principal amount of the Senior Notes plus a make-whole premium described in the Indenture, plus accrued and unpaid interest, if any, to, but not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redemption date. On and after August 1, 2027, Pagaya US may redeem the Notes, in whole or in part, at the redemption prices set forth in the Indenture.</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at any time prior to August 1, 2027, Pagaya US may, from time to time, redeem up to 40% of the aggregate principal amount of the Senior Notes with an amount of cash not greater than the net cash proceeds from certain equity offerings at the redemption price set forth in the Indenture, if not less than 50% of the aggregate principal amount of the notes remains outstanding immediately after such redemption and the redemption occurs within 180 days of the closing date of such equity offering.</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used the net proceeds from the Senior Notes to repay amounting to $332.1 million of outstanding principal of long-term debt on July 28, 2025. Additionally, the Company has repaid $58.1 million of secured borrowing as of August 7, 2025 and has indicated its intention to repay additional secured borrowings. As a result of these transactions, the Company has incurred a loss of $24 million, related to the write-off of deferred issuance costs and early payment penalty associated with the long-term debt. The new borrowings, repayments and pro-forma balances of long-term debt, secured borrowings and Senior Notes, as of the date of August 7, 2025 were as follows ($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333333"/>
              </w:rPr>
              <w:t>June 30, 2025</w:t>
            </w:r>
          </w:p>
        </w:tc>
        <w:tc>
          <w:tcPr>
            <w:tcW w:w="10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New Borrowing(2)</w:t>
            </w:r>
          </w:p>
        </w:tc>
        <w:tc>
          <w:tcPr>
            <w:tcW w:w="200" w:type="dxa"/>
            <w:vAlign w:val="bottom"/>
          </w:tcPr>
          <w:p>
            <w:pPr>
              <w:spacing w:after="0"/>
              <w:rPr>
                <w:sz w:val="18"/>
                <w:szCs w:val="18"/>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Repayments</w:t>
            </w:r>
          </w:p>
        </w:tc>
        <w:tc>
          <w:tcPr>
            <w:tcW w:w="260" w:type="dxa"/>
            <w:vAlign w:val="bottom"/>
          </w:tcPr>
          <w:p>
            <w:pPr>
              <w:spacing w:after="0"/>
              <w:rPr>
                <w:sz w:val="18"/>
                <w:szCs w:val="18"/>
                <w:color w:val="auto"/>
              </w:rPr>
            </w:pPr>
          </w:p>
        </w:tc>
        <w:tc>
          <w:tcPr>
            <w:tcW w:w="13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Pro-forma</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Interest Rate(1)</w:t>
            </w:r>
          </w:p>
        </w:tc>
        <w:tc>
          <w:tcPr>
            <w:tcW w:w="1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debt(3)</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332,125</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(332,125)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borrowing(3)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267,647</w:t>
            </w:r>
          </w:p>
        </w:tc>
        <w:tc>
          <w:tcPr>
            <w:tcW w:w="17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209,529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8.875%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12"/>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599,772</w:t>
            </w: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(390,243)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709,529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as of June 30, 2025 for long-term debt and secured borrowing.</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underwriting fees of $7.5 million</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debt issuance costs.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Exchangeable Notes</w:t>
      </w:r>
    </w:p>
    <w:p>
      <w:pPr>
        <w:spacing w:after="0" w:line="2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October 1, 2024, Pagaya US issued $160 million in aggregate principal amount of 6.125% exchangeable notes due 2029 (the “Notes”). The issuance was in connection with a purchase agreement dated September 26, 2024, with certain initial purchasers. The Company intends to use the net proceeds from the Notes to repay higher-cost debt and reduce interest expense, with the remainder allocated for general corporate purposes.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Notes bear interest at a rate of 6.125% per annum, payable semiannually in arrears on April 1 and October 1 of each year, beginning April 1, 2025, and mature on October 1, 2029, unless earlier repurchased, redeemed, or exchanged. The Notes are exchangeable for cash, Class A Ordinary Shares of the Company, or a combination of both, at the Company’s discretion, subject to certain conditions.</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Notes are senior, unsecured obligations of Pagaya US and are fully and unconditionally guaranteed on a senior, unsecured basis by the Company. The Notes rank equally in right of payment with other senior, unsecured indebtedness and are structurally subordinated to all existing and future liabilities of Pagaya US’s subsidiaries.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initial exchange rate of the Notes is 71.4669 Class A Ordinary Shares per $1,000 principal amount of Notes (which is equivalent to an initial exchange price of approximately $13.99 per share). The exchange rate will be subject to adjustment upon the occurrence of certain events. In addition, upon the occurrence of a “make-whole fundamental change” (as defined in the indenture governing the Notes) or if Pagaya US redeems the Notes, Pagaya US will, in certain circumstances, increase the exchange rate by a number of additional Class A Ordinary Shares for a holder who elects to convert its Notes in connection with such make-whole fundamental change or to convert its Notes called for redemption during the related redemption exchange period.</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Prior to the close of business on the business day immediately preceding July 2, 2029, the Notes will be exchangeable at the option of the holders only upon the satisfaction of specified conditions. These conditions include, among others, the sale price of the Class A Ordinary Shares exceeding 130% of the initial exchange price for a specified number of trading days. On or after July 2, 2029 until the close of business on the second scheduled trading day immediately preceding October 1, 2029, the Notes will be exchangeable at the option of the holders at any time regardless of the specified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Pagaya US may redeem the Notes in whole or in part on or after October 5, 2027, only if the last reported sale price per Class A Ordinary Share exceeds 130% of the exchange price for a specified period of time and certain other conditions are satisfied. The redemption price will be equal to the principal amount of the Notes to be redeemed, plus accrued and unpaid interest, if any, to, but excluding, the redemption date.</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a “fundamental change” (as defined in the indenture governing the Notes) of the Company occurs, then, subject to a limited exception, noteholders may require Pagaya US to repurchase their Notes for cash. The repurchase price will be equal to the principal amount of the Notes to be repurchased, plus accrued and unpaid interest to, but excluding, the fundamental change repurchase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In November 2024, the Company amended the Credit Agreement to increase the Term Loan Facility by $100 million, bringing the total principal amount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the Revolving Credit Facility of $58 million.</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may voluntarily prepay borrowings under the Facilities at any time and from time to time subject to, in regards to voluntary prepayments and certain mandatory prepayments of the Term Loan Facility, a 3.00% fee if paid prior to the first anniversary of the Term Loan Facility, 2.00% if paid after the first anniversary but prior to the second anniversary, 1.00% if after the second anniversary but prior to the third anniversary, and 0.50% if after the third anniversary but prior to the fourth anniversary. In each case, prepayments of the Facilities may be subject to the payment of “breakage” costs.</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Facilities contain certain customary mandatory prepayment events, including requirements to prepay the Term Loan Facility with excess cash flow and with the net cash proceeds from certain asset dispositions and casualty events, subject to customary reinvestment rights and other exceptions.</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A commitment fee accrues on any unused portion of the commitments under the Revolving Credit Facility at a rate per annum of 0.25% and is payable quarterly in arrears.</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Company’s obligations under the Credit Agreement are guaranteed by certain of the Company’s material, wholly-owned subsidiaries (collectively, the “Guarantors”) and are secured by a first priority lien on substantially all assets of the Company and the Guarantors, subject to certain customary exceptions.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Credit Agreement contains customary negative covenants, which include, among other things, limitations on the ability of the Company and its consolidated subsidiaries to incur indebtedness, grant liens, engage in certain fundamental changes, make certain dispositions and investments, enter into sale and leaseback transactions, and make restricted payments and other distributions. The Credit Agreement contains certain financial covenants customary for a credit facility of this type, which include, among other things, a maximum first lien leverage ratio, a minimum fixed charge coverage ratio and a minimum tangible book value ratio. The Credit Agreement also contains affirmative covenants customary for a credit facility of its type, including customary reporting covenants.</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Credit Agreement includes events of default related to, among other things, failure to pay amounts due under the Credit Agreement, breaches of representations, warranties or covenants, defaults under other material indebtedness, certain events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bankruptcy or insolvency, material judgment defaults and change of control, in each case, subject to customary cure periods where appropriate.</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June 30, 2025, the Company had an outstanding balance of $314.5 million, which is recorded within long-term debt and current portion of long-term debt on the unaudited condensed consolidated balance sheet, and the Company had letters of credit issued in the amount of $20.5 million, and $37.5 million of remaining capacity available under the Revolving Credit Facility. As of June 30, 2025, the Company was in compliance with all covenants.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July 28, 2025, the Company fully paid off the outstanding principal balance of long-term debt of $332.1 million using the proceeds from the issuance of Senior Notes, as discussed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Commitments and Contingencies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the normal course of business, we enter into certain lease contracts with lease terms through 2032. As of June 30, 2025, the total remaining contractual obligations are approximately $45.2 million, of which $9.7 million is for the next 12 months. From time to time, the Company enters into a purchase commitment with our third-party cloud computing web services providers. As of June 30, 2025, the total remaining contractual obligations from this purchase commitment are approximately $2.1 million, of which $1.7 million is for the next 12 months. The Company may pay more than the minimum purchase commitment based on usage. Additionally, the Company has contractual obligations related to its lease for corporate office space. See Note 7 for details regarding when these obligations are due.</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June 30, 2025,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June 30, 2025, the unfunded maximum potential amount of undiscounted future payments the Company could be required to make under these guarantees totaled $86.9 million. Additionally, in accordance with the guarantee contracts, the Company is required to fund segregated cash balances to provide protection in the event the Company is not able to meet its contractual commitments. As of June 30, 2025, $51.7 million has been segregated and recognized within restricted cash in the unaudited condensed consolidated balance sheet in accordance with these contractual requirements.</w:t>
      </w:r>
    </w:p>
    <w:p>
      <w:pPr>
        <w:spacing w:after="0" w:line="38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For a discussion of our long-term debt obligations and operating lease obligations as of June 30, 2025, see Note 4 and Note 7, respectively, to our unaudited condensed consolidated financial statements included elsewhere in this Quarterly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6 to the unaudited condensed consolidated financial statements elsewhere included in this Quarterly Report.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significant accounting policies and their effect on our financial condition and results of operations are more fully described in our audited consolidated financial statements included in our Annual Report on Form 10-K. Management has reassessed the critical accounting policies and estimates as disclosed in Note 2 to the audited Consolidated Financial Statements included in our Annual Report on Form 10-K and determined that there were no significant changes in our critical accounting policies and estimates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5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Market risk represents the risk of loss that may impact our financial position due to adverse changes in market prices. Our market risk exposure primarily relates to fluctuations in credit risk. We are exposed to market risk directly through investments in loans and securities held on our unaudited condensed consolidated balance sheets and access to the securitization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unaudited condensed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June 30, 2025 and December 31, 2024, we were exposed to credit risk on $870 million and $764 million, respectively, of investments in loans and securities held on our unaudited condensed consolidated balance sheet, with $770 million and $659 million, respectively, representing net exposure exclusive of non-controlling interests. We have a portfolio risk monitoring that includes internal monitoring as well as competitor / market assessments, macro-economic trends, and associated stress testing. Loans and related risk retention securities are monitored throughout the entire lifecycle. This risk monitoring framework provides timely and actionable feedback on managing credit risk exposures.</w:t>
      </w:r>
    </w:p>
    <w:p>
      <w:pPr>
        <w:spacing w:after="0" w:line="200" w:lineRule="exact"/>
        <w:rPr>
          <w:sz w:val="20"/>
          <w:szCs w:val="20"/>
          <w:color w:val="auto"/>
        </w:rPr>
      </w:pP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the results of our operations. For additional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“Item 2. Liquidity and Capital Resources”</w:t>
      </w:r>
      <w:r>
        <w:rPr>
          <w:rFonts w:ascii="Times New Roman" w:cs="Times New Roman" w:eastAsia="Times New Roman" w:hAnsi="Times New Roman"/>
          <w:sz w:val="16"/>
          <w:szCs w:val="16"/>
          <w:color w:val="auto"/>
        </w:rPr>
        <w:t xml:space="preserve"> for additional information.</w:t>
      </w:r>
    </w:p>
    <w:p>
      <w:pPr>
        <w:spacing w:after="0" w:line="24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Risk</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Foreign currency exchange rates do not pose a material market risk exposure. However, given the compensation and non-compensation expenses denominated in Israeli Shekel, our inability or failure to manage foreign exchange risk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June 30, 2025. Based upon that evaluation, our Chief Executive Officer and Chief Financial Officer concluded that, as of June 30, 2025, our disclosure controls and procedures were effective to accomplish their objectives at the reasonable assurance level.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under the Securities Exchange Act) that occurred during the quarter ended June 30, 2025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on Effectiveness of Internal Control</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refer to Note 8. “Commitments and Contingencies” of the accompanying notes to our unaudited condensed consolidated financial statements.</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risks described under the heading “Risk Factors” in our Annual Report on Form 10-K for the year ended December 31, 2024 could materially and adversely affect our business, financial condition, results of operations, cash flows, future prospects, and the trading price of our Class A Ordinary Share.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You should carefully read and consider such risks, together with all of the other information in our Annual Report on Form 10-K for the year ended December 31, 2024, in this Quarterly Report on Form 10-Q (including the disclosures in the section titled “Management’s Discussion and Analysis of Financial Condition and Results of Operations” and in our unaudited condensed consolidated financial statements and related notes), and in the other documents that we file with the SEC.</w:t>
      </w:r>
    </w:p>
    <w:p>
      <w:pPr>
        <w:spacing w:after="0" w:line="2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There have been no material changes from the risk factors previously disclosed under the heading “Risk Factors” in our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Trading Plans or Other Arrangements</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Subject to compliance with U.S. and Israel securities laws, rules and regulations, our directors and executive officers have adopted, and may adopt, individual share trading plans in accordance with Rule 10b5-1 of the Securities Exchange Act of 1934, as amended (a “Rule 10b5-1 Plan”), in which they will contract with a broker to buy or sell our Class A Ordinary Shares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buy or sell additional shares outside of a Rule 10b5-1 Plan when they are not in possession of material, non-public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and Officer Trading Plans or other Arrangements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June 30, 2025, Tami Rosen, a director and the Company’s Chief Development Officer, entered into a new 10b5-1 Plan on May 29, 2025, with an end date of March 31, 2026, to sell a maximum aggregate of 149,610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1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20" w:type="dxa"/>
            <w:vAlign w:val="bottom"/>
            <w:gridSpan w:val="8"/>
            <w:vMerge w:val="restart"/>
          </w:tcPr>
          <w:p>
            <w:pPr>
              <w:ind w:left="2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18"/>
        </w:trPr>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7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900" w:type="dxa"/>
            <w:vAlign w:val="bottom"/>
            <w:tcBorders>
              <w:top w:val="single" w:sz="8" w:color="auto"/>
            </w:tcBorders>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Articles of Association of Pagaya Technologies Ltd., as amended and restated on December 11, 2024 (incorporated by reference to Exhibit 3.1 of</w:t>
              </w:r>
            </w:hyperlink>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0" w:type="dxa"/>
            <w:vAlign w:val="bottom"/>
            <w:tcBorders>
              <w:top w:val="single" w:sz="8" w:color="0000FF"/>
              <w:bottom w:val="single" w:sz="8" w:color="0000FF"/>
            </w:tcBorders>
            <w:gridSpan w:val="3"/>
            <w:shd w:val="clear" w:color="auto" w:fill="CCEEFF"/>
          </w:tcPr>
          <w:p>
            <w:pPr>
              <w:spacing w:after="0" w:line="169"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Pagaya Technologies Ltd. Current Report on Form 8-K filed with the SEC on December 12, 2024)</w:t>
              </w:r>
            </w:hyperlink>
          </w:p>
        </w:tc>
        <w:tc>
          <w:tcPr>
            <w:tcW w:w="302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0"/>
          </w:tcPr>
          <w:p>
            <w:pPr>
              <w:spacing w:after="0" w:line="175"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Indenture, dated as of July 28, 2025, by and among the Pagaya US, the Guarantors and the Trustee</w:t>
              </w:r>
            </w:hyperlink>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4220" w:type="dxa"/>
            <w:vAlign w:val="bottom"/>
            <w:tcBorders>
              <w:top w:val="single" w:sz="8" w:color="0000FF"/>
            </w:tcBorders>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9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Global Note, representing Pagaya US’s 8.875% Senior Notes due 2030 (included as Exhibit A to the Indenture filed as Exhibit 4.1)</w:t>
            </w: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0"/>
          </w:tcPr>
          <w:p>
            <w:pPr>
              <w:spacing w:after="0" w:line="175"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Amendment No. 3 to the Credit Agreement, dated as of July 28, 2025, among the Company as a borrower, Pagaya US as a borrower, the Lenders and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Acquiom, as administrative agent</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4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Executive Officer pursuant to Securities Exchange Act Rules 13a-14(a) and 15d-14(a) as adopted pursuant to §302 of the Sarbanes-</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Oxley Act of 2002</w:t>
            </w:r>
          </w:p>
        </w:tc>
        <w:tc>
          <w:tcPr>
            <w:tcW w:w="8620" w:type="dxa"/>
            <w:vAlign w:val="bottom"/>
            <w:tcBorders>
              <w:top w:val="single" w:sz="8" w:color="0000FF"/>
              <w:bottom w:val="single" w:sz="8" w:color="CCEEFF"/>
            </w:tcBorders>
            <w:gridSpan w:val="8"/>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Financial Officer pursuant to Securities Exchange Act Rules 13a-14(a) and 15d-14(a) as adopted pursuant to §302 of the Sarbanes-</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rPr>
              <w:t>Oxley Act of 2002</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560" w:type="dxa"/>
            <w:vAlign w:val="bottom"/>
            <w:tcBorders>
              <w:bottom w:val="single" w:sz="8" w:color="0000FF"/>
            </w:tcBorders>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Executive Officer pursuant to 18 U.S.C. §1350, as adopted pursuant to §906 of the Sarbanes-Oxley Act of 2002</w:t>
            </w:r>
          </w:p>
        </w:tc>
        <w:tc>
          <w:tcPr>
            <w:tcW w:w="1340" w:type="dxa"/>
            <w:vAlign w:val="bottom"/>
            <w:tcBorders>
              <w:bottom w:val="single" w:sz="8" w:color="CCEEFF"/>
            </w:tcBorders>
            <w:gridSpan w:val="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Financial Officer pursuant to 18 U.S.C. §1350, as adopted pursuant to §906 of the Sarbanes-Oxley Act of 2002</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42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99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220"/>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9"/>
                <w:szCs w:val="19"/>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39"/>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20"/>
                <w:szCs w:val="20"/>
                <w:color w:val="auto"/>
              </w:rPr>
            </w:pPr>
          </w:p>
        </w:tc>
        <w:tc>
          <w:tcPr>
            <w:tcW w:w="99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20"/>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9"/>
                <w:szCs w:val="19"/>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39"/>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20"/>
                <w:szCs w:val="20"/>
                <w:color w:val="auto"/>
              </w:rPr>
            </w:pPr>
          </w:p>
        </w:tc>
        <w:tc>
          <w:tcPr>
            <w:tcW w:w="99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0"/>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260" w:hanging="1234"/>
        <w:spacing w:after="0"/>
        <w:tabs>
          <w:tab w:leader="none" w:pos="126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36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08088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47"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r>
      <w:tr>
        <w:trPr>
          <w:trHeight w:val="365"/>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August 7, 2025</w:t>
            </w: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Gal Krubiner</w:t>
            </w:r>
          </w:p>
        </w:tc>
      </w:tr>
      <w:tr>
        <w:trPr>
          <w:trHeight w:val="210"/>
        </w:trPr>
        <w:tc>
          <w:tcPr>
            <w:tcW w:w="3500" w:type="dxa"/>
            <w:vAlign w:val="bottom"/>
          </w:tcPr>
          <w:p>
            <w:pPr>
              <w:spacing w:after="0"/>
              <w:rPr>
                <w:sz w:val="18"/>
                <w:szCs w:val="18"/>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Gal Krubiner</w:t>
            </w:r>
          </w:p>
        </w:tc>
      </w:tr>
      <w:tr>
        <w:trPr>
          <w:trHeight w:val="216"/>
        </w:trPr>
        <w:tc>
          <w:tcPr>
            <w:tcW w:w="3500" w:type="dxa"/>
            <w:vAlign w:val="bottom"/>
          </w:tcPr>
          <w:p>
            <w:pPr>
              <w:spacing w:after="0"/>
              <w:rPr>
                <w:sz w:val="18"/>
                <w:szCs w:val="18"/>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72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August 7, 2025</w:t>
            </w: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Evangelos Perros</w:t>
            </w:r>
          </w:p>
        </w:tc>
      </w:tr>
      <w:tr>
        <w:trPr>
          <w:trHeight w:val="210"/>
        </w:trPr>
        <w:tc>
          <w:tcPr>
            <w:tcW w:w="3500" w:type="dxa"/>
            <w:vAlign w:val="bottom"/>
          </w:tcPr>
          <w:p>
            <w:pPr>
              <w:spacing w:after="0"/>
              <w:rPr>
                <w:sz w:val="18"/>
                <w:szCs w:val="18"/>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Evangelos Perros</w:t>
            </w:r>
          </w:p>
        </w:tc>
      </w:tr>
      <w:tr>
        <w:trPr>
          <w:trHeight w:val="216"/>
        </w:trPr>
        <w:tc>
          <w:tcPr>
            <w:tcW w:w="3500" w:type="dxa"/>
            <w:vAlign w:val="bottom"/>
          </w:tcPr>
          <w:p>
            <w:pPr>
              <w:spacing w:after="0"/>
              <w:rPr>
                <w:sz w:val="18"/>
                <w:szCs w:val="18"/>
                <w:color w:val="auto"/>
              </w:rPr>
            </w:pPr>
          </w:p>
        </w:tc>
        <w:tc>
          <w:tcPr>
            <w:tcW w:w="29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240"/>
          </w:cols>
          <w:pgMar w:left="320" w:top="85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Gal Krubiner, certify that:</w:t>
      </w:r>
    </w:p>
    <w:p>
      <w:pPr>
        <w:spacing w:after="0" w:line="248"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Pagaya Technologies Ltd.;</w:t>
      </w:r>
    </w:p>
    <w:p>
      <w:pPr>
        <w:spacing w:after="0" w:line="261" w:lineRule="exact"/>
        <w:rPr>
          <w:rFonts w:ascii="Times New Roman" w:cs="Times New Roman" w:eastAsia="Times New Roman" w:hAnsi="Times New Roman"/>
          <w:sz w:val="16"/>
          <w:szCs w:val="16"/>
          <w:color w:val="auto"/>
        </w:rPr>
      </w:pPr>
    </w:p>
    <w:p>
      <w:pPr>
        <w:ind w:right="20" w:firstLine="8"/>
        <w:spacing w:after="0" w:line="280" w:lineRule="auto"/>
        <w:tabs>
          <w:tab w:leader="none" w:pos="17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firstLine="8"/>
        <w:spacing w:after="0" w:line="267" w:lineRule="auto"/>
        <w:tabs>
          <w:tab w:leader="none" w:pos="17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right="20" w:firstLine="8"/>
        <w:spacing w:after="0" w:line="275" w:lineRule="auto"/>
        <w:tabs>
          <w:tab w:leader="none" w:pos="16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4" w:lineRule="exact"/>
        <w:rPr>
          <w:rFonts w:ascii="Times New Roman" w:cs="Times New Roman" w:eastAsia="Times New Roman" w:hAnsi="Times New Roman"/>
          <w:sz w:val="16"/>
          <w:szCs w:val="16"/>
          <w:color w:val="auto"/>
        </w:rPr>
      </w:pPr>
    </w:p>
    <w:p>
      <w:pPr>
        <w:jc w:val="both"/>
        <w:ind w:left="660" w:hanging="4"/>
        <w:spacing w:after="0" w:line="260" w:lineRule="auto"/>
        <w:tabs>
          <w:tab w:leader="none" w:pos="89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jc w:val="both"/>
        <w:ind w:left="660" w:right="20" w:hanging="4"/>
        <w:spacing w:after="0" w:line="260" w:lineRule="auto"/>
        <w:tabs>
          <w:tab w:leader="none" w:pos="91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6"/>
          <w:szCs w:val="16"/>
          <w:color w:val="auto"/>
        </w:rPr>
      </w:pPr>
    </w:p>
    <w:p>
      <w:pPr>
        <w:ind w:left="660" w:hanging="4"/>
        <w:spacing w:after="0" w:line="298" w:lineRule="auto"/>
        <w:tabs>
          <w:tab w:leader="none" w:pos="896"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hanging="4"/>
        <w:spacing w:after="0" w:line="280" w:lineRule="auto"/>
        <w:tabs>
          <w:tab w:leader="none" w:pos="89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5" w:lineRule="exact"/>
        <w:rPr>
          <w:rFonts w:ascii="Times New Roman" w:cs="Times New Roman" w:eastAsia="Times New Roman" w:hAnsi="Times New Roman"/>
          <w:sz w:val="16"/>
          <w:szCs w:val="16"/>
          <w:color w:val="auto"/>
        </w:rPr>
      </w:pPr>
    </w:p>
    <w:p>
      <w:pPr>
        <w:ind w:firstLine="8"/>
        <w:spacing w:after="0" w:line="280" w:lineRule="auto"/>
        <w:tabs>
          <w:tab w:leader="none" w:pos="17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660" w:hanging="4"/>
        <w:spacing w:after="0" w:line="280" w:lineRule="auto"/>
        <w:tabs>
          <w:tab w:leader="none" w:pos="90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660" w:right="20" w:hanging="4"/>
        <w:spacing w:after="0" w:line="298" w:lineRule="auto"/>
        <w:tabs>
          <w:tab w:leader="none" w:pos="89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18"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August 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Gal Krubiner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2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Evangelos Perros, certify that:</w:t>
      </w:r>
    </w:p>
    <w:p>
      <w:pPr>
        <w:spacing w:after="0" w:line="248"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Pagaya Technologies Ltd.;</w:t>
      </w:r>
    </w:p>
    <w:p>
      <w:pPr>
        <w:spacing w:after="0" w:line="261" w:lineRule="exact"/>
        <w:rPr>
          <w:rFonts w:ascii="Times New Roman" w:cs="Times New Roman" w:eastAsia="Times New Roman" w:hAnsi="Times New Roman"/>
          <w:sz w:val="16"/>
          <w:szCs w:val="16"/>
          <w:color w:val="auto"/>
        </w:rPr>
      </w:pPr>
    </w:p>
    <w:p>
      <w:pPr>
        <w:ind w:right="20" w:firstLine="8"/>
        <w:spacing w:after="0" w:line="280" w:lineRule="auto"/>
        <w:tabs>
          <w:tab w:leader="none" w:pos="17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firstLine="8"/>
        <w:spacing w:after="0" w:line="267" w:lineRule="auto"/>
        <w:tabs>
          <w:tab w:leader="none" w:pos="17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right="20" w:firstLine="8"/>
        <w:spacing w:after="0" w:line="275" w:lineRule="auto"/>
        <w:tabs>
          <w:tab w:leader="none" w:pos="16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4" w:lineRule="exact"/>
        <w:rPr>
          <w:rFonts w:ascii="Times New Roman" w:cs="Times New Roman" w:eastAsia="Times New Roman" w:hAnsi="Times New Roman"/>
          <w:sz w:val="16"/>
          <w:szCs w:val="16"/>
          <w:color w:val="auto"/>
        </w:rPr>
      </w:pPr>
    </w:p>
    <w:p>
      <w:pPr>
        <w:jc w:val="both"/>
        <w:ind w:left="660" w:hanging="4"/>
        <w:spacing w:after="0" w:line="260" w:lineRule="auto"/>
        <w:tabs>
          <w:tab w:leader="none" w:pos="899"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jc w:val="both"/>
        <w:ind w:left="660" w:right="20" w:hanging="4"/>
        <w:spacing w:after="0" w:line="260" w:lineRule="auto"/>
        <w:tabs>
          <w:tab w:leader="none" w:pos="91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6"/>
          <w:szCs w:val="16"/>
          <w:color w:val="auto"/>
        </w:rPr>
      </w:pPr>
    </w:p>
    <w:p>
      <w:pPr>
        <w:ind w:left="660" w:hanging="4"/>
        <w:spacing w:after="0" w:line="298" w:lineRule="auto"/>
        <w:tabs>
          <w:tab w:leader="none" w:pos="896"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hanging="4"/>
        <w:spacing w:after="0" w:line="280" w:lineRule="auto"/>
        <w:tabs>
          <w:tab w:leader="none" w:pos="89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5" w:lineRule="exact"/>
        <w:rPr>
          <w:rFonts w:ascii="Times New Roman" w:cs="Times New Roman" w:eastAsia="Times New Roman" w:hAnsi="Times New Roman"/>
          <w:sz w:val="16"/>
          <w:szCs w:val="16"/>
          <w:color w:val="auto"/>
        </w:rPr>
      </w:pPr>
    </w:p>
    <w:p>
      <w:pPr>
        <w:ind w:firstLine="8"/>
        <w:spacing w:after="0" w:line="280" w:lineRule="auto"/>
        <w:tabs>
          <w:tab w:leader="none" w:pos="17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660" w:hanging="4"/>
        <w:spacing w:after="0" w:line="280" w:lineRule="auto"/>
        <w:tabs>
          <w:tab w:leader="none" w:pos="90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660" w:right="20" w:hanging="4"/>
        <w:spacing w:after="0" w:line="298" w:lineRule="auto"/>
        <w:tabs>
          <w:tab w:leader="none" w:pos="89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18"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August 7, 2025</w:t>
      </w:r>
      <w:r>
        <w:rPr>
          <w:sz w:val="20"/>
          <w:szCs w:val="20"/>
          <w:color w:val="auto"/>
        </w:rPr>
        <w:tab/>
      </w:r>
      <w:r>
        <w:rPr>
          <w:rFonts w:ascii="Times New Roman" w:cs="Times New Roman" w:eastAsia="Times New Roman" w:hAnsi="Times New Roman"/>
          <w:sz w:val="16"/>
          <w:szCs w:val="16"/>
          <w:color w:val="auto"/>
        </w:rPr>
        <w:t>By:</w:t>
        <w:tab/>
        <w:t>/s/ Evangelos Perros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Evangelos Perros</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40"/>
          </w:cols>
          <w:pgMar w:left="320" w:top="142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spacing w:after="0" w:line="198" w:lineRule="exact"/>
        <w:rPr>
          <w:sz w:val="20"/>
          <w:szCs w:val="20"/>
          <w:color w:val="auto"/>
        </w:rPr>
      </w:pPr>
    </w:p>
    <w:p>
      <w:pPr>
        <w:ind w:right="20" w:firstLine="8"/>
        <w:spacing w:after="0" w:line="280" w:lineRule="auto"/>
        <w:tabs>
          <w:tab w:leader="none" w:pos="16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June 30, 2025, to which this Certification is attached as Exhibit 32.1 (the “Report”), fully complies with the requirements of Section 13(a) or Section 15(d) of the Exchange Act; and</w:t>
      </w:r>
    </w:p>
    <w:p>
      <w:pPr>
        <w:spacing w:after="0" w:line="20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46"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August 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Gal Krubiner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2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Evangelos Perros, Chief Financial Officer of Pagaya Technologies Ltd. (the “Company”), hereby certifies that, to the best of his knowledge:</w:t>
      </w:r>
    </w:p>
    <w:p>
      <w:pPr>
        <w:spacing w:after="0" w:line="198" w:lineRule="exact"/>
        <w:rPr>
          <w:sz w:val="20"/>
          <w:szCs w:val="20"/>
          <w:color w:val="auto"/>
        </w:rPr>
      </w:pPr>
    </w:p>
    <w:p>
      <w:pPr>
        <w:ind w:right="20" w:firstLine="8"/>
        <w:spacing w:after="0" w:line="280" w:lineRule="auto"/>
        <w:tabs>
          <w:tab w:leader="none" w:pos="16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June 30, 2025, to which this Certification is attached as Exhibit 32.2 (the “Report”), fully complies with the requirements of Section 13(a) or Section 15(d) of the Exchange Act; and</w:t>
      </w:r>
    </w:p>
    <w:p>
      <w:pPr>
        <w:spacing w:after="0" w:line="20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46"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August 7, 2025</w:t>
      </w:r>
      <w:r>
        <w:rPr>
          <w:sz w:val="20"/>
          <w:szCs w:val="20"/>
          <w:color w:val="auto"/>
        </w:rPr>
        <w:tab/>
      </w:r>
      <w:r>
        <w:rPr>
          <w:rFonts w:ascii="Times New Roman" w:cs="Times New Roman" w:eastAsia="Times New Roman" w:hAnsi="Times New Roman"/>
          <w:sz w:val="16"/>
          <w:szCs w:val="16"/>
          <w:color w:val="auto"/>
        </w:rPr>
        <w:t>By:</w:t>
        <w:tab/>
        <w:t>/s/ Evangelos Perros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Evangelos Perros</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lvl w:ilvl="1">
      <w:lvlJc w:val="left"/>
      <w:lvlText w:val="%2"/>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83" Type="http://schemas.openxmlformats.org/officeDocument/2006/relationships/hyperlink" Target="https://www.sec.gov/Archives/edgar/data/1883085/000188308524000202/thirdamendedarticlesofas.htm" TargetMode="External"/><Relationship Id="rId84" Type="http://schemas.openxmlformats.org/officeDocument/2006/relationships/hyperlink" Target="https://www.sec.gov/Archives/edgar/data/1883085/000188308525000157/a41pgy-2025notesxindenture.htm" TargetMode="External"/><Relationship Id="rId85" Type="http://schemas.openxmlformats.org/officeDocument/2006/relationships/hyperlink" Target="https://www.sec.gov/Archives/edgar/data/1883085/000188308525000157/a101thirdamendmenttocred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2025-08-07T15:28:30Z</dcterms:created>
  <dcterms:modified xsi:type="dcterms:W3CDTF">2025-08-07T15:28:30Z</dcterms:modified>
</cp:coreProperties>
</file>