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536791.xml.htm"/>
      <w:bookmarkStart w:id="1" w:name="kswkform4_179253679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Rosen Tami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PAGAYA TECHNOLOGIES LTD.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335 MADISON AVENUE, 16TH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Pagaya Technologies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PGY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10/19/2026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7"/>
        <w:gridCol w:w="906"/>
        <w:gridCol w:w="775"/>
        <w:gridCol w:w="602"/>
        <w:gridCol w:w="351"/>
        <w:gridCol w:w="853"/>
        <w:gridCol w:w="459"/>
        <w:gridCol w:w="759"/>
        <w:gridCol w:w="1172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10/19/2026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9,363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10.68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22,777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7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2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6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7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2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2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2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Incentive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10.68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9,363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03/17/2031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9,363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194,085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Became fully vested and exercisable on February 28,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Balance adjusted to reflect exercise of 18,819 options prior to the reporting person becoming subject to Section 16 reporting obligations.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Joshua Sills,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0282" TargetMode="External"/><Relationship Id="rId5" Type="http://schemas.openxmlformats.org/officeDocument/2006/relationships/hyperlink" Target="http://www.sec.gov/cgi-bin/browse-edgar?action=getcompany&amp;CIK=00018830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619</Words>
  <Characters>3370</Characters>
  <CharactersWithSpaces>3908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