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04341.xml.htm"/>
      <w:bookmarkStart w:id="1" w:name="kswkform4_17806043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Vieira Cory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PAGAYA TECHNOLOGIES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 MADISON AVENUE, 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Pagaya Technologies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PGY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5"/>
        <w:gridCol w:w="903"/>
        <w:gridCol w:w="772"/>
        <w:gridCol w:w="600"/>
        <w:gridCol w:w="349"/>
        <w:gridCol w:w="849"/>
        <w:gridCol w:w="457"/>
        <w:gridCol w:w="798"/>
        <w:gridCol w:w="1168"/>
        <w:gridCol w:w="1001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5,208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20,319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2,140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18,179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6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5,208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10,416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securities was necessary to satisfy tax withholding obligations arising exclusively from the vesting of a compensatory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1/2 of the total 41,664 restricted stock units vested on December 2, 2025, and the remaining restricted stock units shall vest over the following 12 months in 4 quarterly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Watson,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7689" TargetMode="External"/><Relationship Id="rId5" Type="http://schemas.openxmlformats.org/officeDocument/2006/relationships/hyperlink" Target="http://www.sec.gov/cgi-bin/browse-edgar?action=getcompany&amp;CIK=00018830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3494</Characters>
  <CharactersWithSpaces>4063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