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Washington, D.C. 20549</w:t>
      </w:r>
    </w:p>
    <w:p>
      <w:pPr>
        <w:spacing w:after="0" w:line="187" w:lineRule="exact"/>
        <w:rPr>
          <w:sz w:val="24"/>
          <w:szCs w:val="24"/>
          <w:color w:val="auto"/>
        </w:rPr>
      </w:pPr>
    </w:p>
    <w:p>
      <w:pPr>
        <w:jc w:val="center"/>
        <w:ind w:right="100"/>
        <w:spacing w:after="0"/>
        <w:rPr>
          <w:sz w:val="20"/>
          <w:szCs w:val="20"/>
          <w:color w:val="auto"/>
        </w:rPr>
      </w:pPr>
      <w:r>
        <w:rPr>
          <w:rFonts w:ascii="Arial" w:cs="Arial" w:eastAsia="Arial" w:hAnsi="Arial"/>
          <w:sz w:val="25"/>
          <w:szCs w:val="25"/>
          <w:b w:val="1"/>
          <w:bCs w:val="1"/>
          <w:color w:val="auto"/>
        </w:rPr>
        <w:t>FORM 6-K</w:t>
      </w:r>
    </w:p>
    <w:p>
      <w:pPr>
        <w:spacing w:after="0" w:line="248"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PURSUANT TO SECTION 13A-16 OR 15D-16</w:t>
      </w:r>
    </w:p>
    <w:p>
      <w:pPr>
        <w:jc w:val="center"/>
        <w:ind w:right="10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9"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For the month of November 2022</w:t>
      </w:r>
    </w:p>
    <w:p>
      <w:pPr>
        <w:spacing w:after="0" w:line="233"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Commission File Number: 001-41430</w:t>
      </w:r>
    </w:p>
    <w:p>
      <w:pPr>
        <w:spacing w:after="0" w:line="200" w:lineRule="exact"/>
        <w:rPr>
          <w:sz w:val="24"/>
          <w:szCs w:val="24"/>
          <w:color w:val="auto"/>
        </w:rPr>
      </w:pPr>
    </w:p>
    <w:p>
      <w:pPr>
        <w:spacing w:after="0" w:line="274" w:lineRule="exact"/>
        <w:rPr>
          <w:sz w:val="24"/>
          <w:szCs w:val="24"/>
          <w:color w:val="auto"/>
        </w:rPr>
      </w:pPr>
    </w:p>
    <w:p>
      <w:pPr>
        <w:jc w:val="center"/>
        <w:ind w:right="100"/>
        <w:spacing w:after="0"/>
        <w:rPr>
          <w:sz w:val="20"/>
          <w:szCs w:val="20"/>
          <w:color w:val="auto"/>
        </w:rPr>
      </w:pPr>
      <w:r>
        <w:rPr>
          <w:rFonts w:ascii="Arial" w:cs="Arial" w:eastAsia="Arial" w:hAnsi="Arial"/>
          <w:sz w:val="43"/>
          <w:szCs w:val="43"/>
          <w:b w:val="1"/>
          <w:bCs w:val="1"/>
          <w:color w:val="auto"/>
        </w:rPr>
        <w:t>Pagaya Technologies Ltd.</w:t>
      </w:r>
    </w:p>
    <w:p>
      <w:pPr>
        <w:spacing w:after="0" w:line="45"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9"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Azrieli Sarona Bldg, 54th Floor</w:t>
      </w: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22"/>
          <w:szCs w:val="22"/>
          <w:b w:val="1"/>
          <w:bCs w:val="1"/>
          <w:color w:val="auto"/>
        </w:rPr>
        <w:t>121 Derech Menachem Begin</w:t>
      </w:r>
    </w:p>
    <w:p>
      <w:pPr>
        <w:jc w:val="center"/>
        <w:ind w:right="100"/>
        <w:spacing w:after="0" w:line="230" w:lineRule="auto"/>
        <w:rPr>
          <w:sz w:val="20"/>
          <w:szCs w:val="20"/>
          <w:color w:val="auto"/>
        </w:rPr>
      </w:pPr>
      <w:r>
        <w:rPr>
          <w:rFonts w:ascii="Arial" w:cs="Arial" w:eastAsia="Arial" w:hAnsi="Arial"/>
          <w:sz w:val="22"/>
          <w:szCs w:val="22"/>
          <w:b w:val="1"/>
          <w:bCs w:val="1"/>
          <w:color w:val="auto"/>
        </w:rPr>
        <w:t>Tel-Aviv 6701203, Israel</w:t>
      </w:r>
    </w:p>
    <w:p>
      <w:pPr>
        <w:jc w:val="center"/>
        <w:ind w:right="100"/>
        <w:spacing w:after="0" w:line="231" w:lineRule="auto"/>
        <w:rPr>
          <w:sz w:val="20"/>
          <w:szCs w:val="20"/>
          <w:color w:val="auto"/>
        </w:rPr>
      </w:pPr>
      <w:r>
        <w:rPr>
          <w:rFonts w:ascii="Arial" w:cs="Arial" w:eastAsia="Arial" w:hAnsi="Arial"/>
          <w:sz w:val="22"/>
          <w:szCs w:val="22"/>
          <w:b w:val="1"/>
          <w:bCs w:val="1"/>
          <w:color w:val="auto"/>
        </w:rPr>
        <w:t>+972 (3) 715 0920</w:t>
      </w:r>
    </w:p>
    <w:p>
      <w:pPr>
        <w:jc w:val="center"/>
        <w:ind w:right="100"/>
        <w:spacing w:after="0"/>
        <w:rPr>
          <w:sz w:val="20"/>
          <w:szCs w:val="20"/>
          <w:color w:val="auto"/>
        </w:rPr>
      </w:pPr>
      <w:r>
        <w:rPr>
          <w:rFonts w:ascii="Arial" w:cs="Arial" w:eastAsia="Arial" w:hAnsi="Arial"/>
          <w:sz w:val="22"/>
          <w:szCs w:val="22"/>
          <w:b w:val="1"/>
          <w:bCs w:val="1"/>
          <w:color w:val="auto"/>
        </w:rPr>
        <w:t>(Address of principal executive offices)</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18" w:lineRule="exact"/>
        <w:rPr>
          <w:sz w:val="24"/>
          <w:szCs w:val="24"/>
          <w:color w:val="auto"/>
        </w:rPr>
      </w:pPr>
    </w:p>
    <w:p>
      <w:pPr>
        <w:ind w:left="3940"/>
        <w:spacing w:after="0" w:line="253" w:lineRule="exact"/>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rFonts w:ascii="Arial" w:cs="Arial" w:eastAsia="Arial" w:hAnsi="Arial"/>
          <w:sz w:val="22"/>
          <w:szCs w:val="22"/>
          <w:color w:val="auto"/>
        </w:rPr>
        <w:t xml:space="preserve"> Form 40-F </w:t>
      </w:r>
      <w:r>
        <w:rPr>
          <w:rFonts w:ascii="MS PGothic" w:cs="MS PGothic" w:eastAsia="MS PGothic" w:hAnsi="MS PGothic"/>
          <w:sz w:val="22"/>
          <w:szCs w:val="22"/>
          <w:color w:val="auto"/>
        </w:rPr>
        <w:t>☐</w:t>
      </w:r>
    </w:p>
    <w:p>
      <w:pPr>
        <w:spacing w:after="0" w:line="273"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101(b)(1):</w:t>
      </w:r>
    </w:p>
    <w:p>
      <w:pPr>
        <w:spacing w:after="0" w:line="48" w:lineRule="exact"/>
        <w:rPr>
          <w:sz w:val="24"/>
          <w:szCs w:val="24"/>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101(b)(7):</w:t>
      </w:r>
    </w:p>
    <w:p>
      <w:pPr>
        <w:spacing w:after="0" w:line="48" w:lineRule="exact"/>
        <w:rPr>
          <w:sz w:val="24"/>
          <w:szCs w:val="24"/>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-197485</wp:posOffset>
            </wp:positionH>
            <wp:positionV relativeFrom="paragraph">
              <wp:posOffset>553085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647700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1016000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640" w:top="1021" w:right="5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CONTENTS</w:t>
      </w:r>
    </w:p>
    <w:p>
      <w:pPr>
        <w:spacing w:after="0" w:line="239" w:lineRule="exact"/>
        <w:rPr>
          <w:sz w:val="20"/>
          <w:szCs w:val="20"/>
          <w:color w:val="auto"/>
        </w:rPr>
      </w:pPr>
    </w:p>
    <w:p>
      <w:pPr>
        <w:jc w:val="both"/>
        <w:ind w:firstLine="292"/>
        <w:spacing w:after="0" w:line="274" w:lineRule="auto"/>
        <w:rPr>
          <w:sz w:val="20"/>
          <w:szCs w:val="20"/>
          <w:color w:val="auto"/>
        </w:rPr>
      </w:pPr>
      <w:r>
        <w:rPr>
          <w:rFonts w:ascii="Arial" w:cs="Arial" w:eastAsia="Arial" w:hAnsi="Arial"/>
          <w:sz w:val="19"/>
          <w:szCs w:val="19"/>
          <w:color w:val="auto"/>
        </w:rPr>
        <w:t>On November 10, 2022, Pagaya Technologies Ltd. (“</w:t>
      </w:r>
      <w:r>
        <w:rPr>
          <w:rFonts w:ascii="Arial" w:cs="Arial" w:eastAsia="Arial" w:hAnsi="Arial"/>
          <w:sz w:val="19"/>
          <w:szCs w:val="19"/>
          <w:u w:val="single" w:color="auto"/>
          <w:color w:val="auto"/>
        </w:rPr>
        <w:t>Pagaya</w:t>
      </w:r>
      <w:r>
        <w:rPr>
          <w:rFonts w:ascii="Arial" w:cs="Arial" w:eastAsia="Arial" w:hAnsi="Arial"/>
          <w:sz w:val="19"/>
          <w:szCs w:val="19"/>
          <w:color w:val="auto"/>
        </w:rPr>
        <w:t xml:space="preserve">”) issued a press release titled “Pagaya Reports Third Quarter 2022 Results,” in which Pagaya reported its results of operations for the quarter and nine months ended September 30, 2022. A copy of that press release is furnished as </w:t>
      </w:r>
      <w:r>
        <w:rPr>
          <w:rFonts w:ascii="Arial" w:cs="Arial" w:eastAsia="Arial" w:hAnsi="Arial"/>
          <w:sz w:val="19"/>
          <w:szCs w:val="19"/>
          <w:u w:val="single" w:color="auto"/>
          <w:color w:val="auto"/>
        </w:rPr>
        <w:t>Exhibit 99.1</w:t>
      </w:r>
      <w:r>
        <w:rPr>
          <w:rFonts w:ascii="Arial" w:cs="Arial" w:eastAsia="Arial" w:hAnsi="Arial"/>
          <w:sz w:val="19"/>
          <w:szCs w:val="19"/>
          <w:color w:val="auto"/>
        </w:rPr>
        <w:t xml:space="preserve"> hereto. Pagaya’s Unaudited Condensed Consolidated Interim Financial Statements for the Three Months and Nine Months Ended September 30, 2022 included as </w:t>
      </w:r>
      <w:r>
        <w:rPr>
          <w:rFonts w:ascii="Arial" w:cs="Arial" w:eastAsia="Arial" w:hAnsi="Arial"/>
          <w:sz w:val="19"/>
          <w:szCs w:val="19"/>
          <w:u w:val="single" w:color="auto"/>
          <w:color w:val="auto"/>
        </w:rPr>
        <w:t>Exhibit 99.2</w:t>
      </w:r>
      <w:r>
        <w:rPr>
          <w:rFonts w:ascii="Arial" w:cs="Arial" w:eastAsia="Arial" w:hAnsi="Arial"/>
          <w:sz w:val="19"/>
          <w:szCs w:val="19"/>
          <w:color w:val="auto"/>
        </w:rPr>
        <w:t xml:space="preserve"> of this Report on Form 6-K (the “</w:t>
      </w:r>
      <w:r>
        <w:rPr>
          <w:rFonts w:ascii="Arial" w:cs="Arial" w:eastAsia="Arial" w:hAnsi="Arial"/>
          <w:sz w:val="19"/>
          <w:szCs w:val="19"/>
          <w:u w:val="single" w:color="auto"/>
          <w:color w:val="auto"/>
        </w:rPr>
        <w:t>Report</w:t>
      </w:r>
      <w:r>
        <w:rPr>
          <w:rFonts w:ascii="Arial" w:cs="Arial" w:eastAsia="Arial" w:hAnsi="Arial"/>
          <w:sz w:val="19"/>
          <w:szCs w:val="19"/>
          <w:color w:val="auto"/>
        </w:rPr>
        <w:t xml:space="preserve">”), and Management’s Discussion and Analysis of Financial Condition and Results of Operations for the Three Months and Nine Months Ended September 30, 2022 included as </w:t>
      </w:r>
      <w:r>
        <w:rPr>
          <w:rFonts w:ascii="Arial" w:cs="Arial" w:eastAsia="Arial" w:hAnsi="Arial"/>
          <w:sz w:val="19"/>
          <w:szCs w:val="19"/>
          <w:u w:val="single" w:color="auto"/>
          <w:color w:val="auto"/>
        </w:rPr>
        <w:t>Exhibit 99.3</w:t>
      </w:r>
      <w:r>
        <w:rPr>
          <w:rFonts w:ascii="Arial" w:cs="Arial" w:eastAsia="Arial" w:hAnsi="Arial"/>
          <w:sz w:val="19"/>
          <w:szCs w:val="19"/>
          <w:color w:val="auto"/>
        </w:rPr>
        <w:t xml:space="preserve"> of this Report, shall be deemed to be incorporated by reference into the registration statement on Form S-8 (File No. 333-265739), of Pagaya and any related prospectuses, as such registration statements and prospectuses may be amended from time to time, and to be a part thereof from the date on which this Report is filed, to the extent not superseded by documents or reports subsequently furnished.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NOTE ON FORWARD-LOOKING STATEMENTS</w:t>
      </w:r>
    </w:p>
    <w:p>
      <w:pPr>
        <w:spacing w:after="0" w:line="239" w:lineRule="exact"/>
        <w:rPr>
          <w:sz w:val="20"/>
          <w:szCs w:val="20"/>
          <w:color w:val="auto"/>
        </w:rPr>
      </w:pPr>
    </w:p>
    <w:p>
      <w:pPr>
        <w:jc w:val="both"/>
        <w:ind w:firstLine="292"/>
        <w:spacing w:after="0" w:line="273" w:lineRule="auto"/>
        <w:rPr>
          <w:sz w:val="20"/>
          <w:szCs w:val="20"/>
          <w:color w:val="auto"/>
        </w:rPr>
      </w:pPr>
      <w:r>
        <w:rPr>
          <w:rFonts w:ascii="Arial" w:cs="Arial" w:eastAsia="Arial" w:hAnsi="Arial"/>
          <w:sz w:val="19"/>
          <w:szCs w:val="19"/>
          <w:color w:val="auto"/>
        </w:rPr>
        <w:t>This Report contains forward-looking statements within the meaning of the Private Securities Litigation Reform Act of 1995. Words such as “may,” “will,” “expect,” “plan,” “anticipate,” “estimate,” “intend” and similar expressions (as well as other words or expressions referencing future events, conditions or circumstances) are intended to identify forward-looking statements. These forward-looking statements are based on Pagaya’s expectations and assumptions as of the date of this Report. Each of these forward-looking statements involves risks and uncertainties. Actual results may differ materially from those expressed or implied by these forward-looking statements. For a discussion of risk factors that may cause Pagaya’s actual results to differ from those expressed or implied in the forward-looking statements in this Report, you should refer to Pagaya’s filings with the U.S. Securities and Exchange Commission, including the “Risk Factors” section contained herein. Except as required by law, Pagaya undertakes no obligation to publicly update any forward-looking statements, whether as a result of new information, future events or otherwise, except as required by law. You should, therefore, not rely on these forward-looking statements as representing Pagaya’s views as of any date subsequent to the date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920" w:type="dxa"/>
            <w:vAlign w:val="bottom"/>
          </w:tcPr>
          <w:p>
            <w:pPr>
              <w:ind w:left="3460"/>
              <w:spacing w:after="0"/>
              <w:rPr>
                <w:sz w:val="20"/>
                <w:szCs w:val="20"/>
                <w:color w:val="auto"/>
              </w:rPr>
            </w:pPr>
            <w:r>
              <w:rPr>
                <w:rFonts w:ascii="Arial" w:cs="Arial" w:eastAsia="Arial" w:hAnsi="Arial"/>
                <w:sz w:val="22"/>
                <w:szCs w:val="22"/>
                <w:b w:val="1"/>
                <w:bCs w:val="1"/>
                <w:color w:val="auto"/>
              </w:rPr>
              <w:t>EXHIBIT INDEX</w:t>
            </w:r>
          </w:p>
        </w:tc>
      </w:tr>
      <w:tr>
        <w:trPr>
          <w:trHeight w:val="456"/>
        </w:trPr>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No.</w:t>
            </w:r>
          </w:p>
        </w:tc>
        <w:tc>
          <w:tcPr>
            <w:tcW w:w="9920" w:type="dxa"/>
            <w:vAlign w:val="bottom"/>
            <w:tcBorders>
              <w:bottom w:val="single" w:sz="8" w:color="auto"/>
            </w:tcBorders>
          </w:tcPr>
          <w:p>
            <w:pPr>
              <w:ind w:left="472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3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9920" w:type="dxa"/>
            <w:vAlign w:val="bottom"/>
            <w:shd w:val="clear" w:color="auto" w:fill="CCEEFF"/>
          </w:tcPr>
          <w:p>
            <w:pPr>
              <w:ind w:left="420"/>
              <w:spacing w:after="0" w:line="176" w:lineRule="exact"/>
              <w:rPr>
                <w:sz w:val="20"/>
                <w:szCs w:val="20"/>
                <w:color w:val="auto"/>
              </w:rPr>
            </w:pPr>
            <w:r>
              <w:rPr>
                <w:rFonts w:ascii="Arial" w:cs="Arial" w:eastAsia="Arial" w:hAnsi="Arial"/>
                <w:sz w:val="18"/>
                <w:szCs w:val="18"/>
                <w:color w:val="auto"/>
              </w:rPr>
              <w:t>Press release, dated November 10, 2022, titled “Pagaya Reports Third Quarter 2022 Results”</w:t>
            </w:r>
          </w:p>
        </w:tc>
      </w:tr>
      <w:tr>
        <w:trPr>
          <w:trHeight w:val="216"/>
        </w:trPr>
        <w:tc>
          <w:tcPr>
            <w:tcW w:w="32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9920" w:type="dxa"/>
            <w:vAlign w:val="bottom"/>
            <w:tcBorders>
              <w:top w:val="single" w:sz="8" w:color="CCEEFF"/>
            </w:tcBorders>
          </w:tcPr>
          <w:p>
            <w:pPr>
              <w:spacing w:after="0"/>
              <w:rPr>
                <w:sz w:val="18"/>
                <w:szCs w:val="18"/>
                <w:color w:val="auto"/>
              </w:rPr>
            </w:pPr>
          </w:p>
        </w:tc>
      </w:tr>
      <w:tr>
        <w:trPr>
          <w:trHeight w:val="175"/>
        </w:trPr>
        <w:tc>
          <w:tcPr>
            <w:tcW w:w="13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2</w:t>
            </w:r>
          </w:p>
        </w:tc>
        <w:tc>
          <w:tcPr>
            <w:tcW w:w="9920" w:type="dxa"/>
            <w:vAlign w:val="bottom"/>
            <w:shd w:val="clear" w:color="auto" w:fill="CCEEFF"/>
          </w:tcPr>
          <w:p>
            <w:pPr>
              <w:ind w:left="420"/>
              <w:spacing w:after="0" w:line="176" w:lineRule="exact"/>
              <w:rPr>
                <w:sz w:val="20"/>
                <w:szCs w:val="20"/>
                <w:color w:val="auto"/>
              </w:rPr>
            </w:pPr>
            <w:r>
              <w:rPr>
                <w:rFonts w:ascii="Arial" w:cs="Arial" w:eastAsia="Arial" w:hAnsi="Arial"/>
                <w:sz w:val="18"/>
                <w:szCs w:val="18"/>
                <w:color w:val="auto"/>
                <w:w w:val="93"/>
              </w:rPr>
              <w:t>Unaudited Condensed Consolidated Interim Financial Statements for the Three Months and Nine Months Ended September 30,</w:t>
            </w:r>
          </w:p>
        </w:tc>
      </w:tr>
      <w:tr>
        <w:trPr>
          <w:trHeight w:val="236"/>
        </w:trPr>
        <w:tc>
          <w:tcPr>
            <w:tcW w:w="320" w:type="dxa"/>
            <w:vAlign w:val="bottom"/>
            <w:tcBorders>
              <w:top w:val="single" w:sz="8" w:color="0000EE"/>
            </w:tcBorders>
            <w:shd w:val="clear" w:color="auto" w:fill="CCEEFF"/>
          </w:tcPr>
          <w:p>
            <w:pPr>
              <w:spacing w:after="0"/>
              <w:rPr>
                <w:sz w:val="20"/>
                <w:szCs w:val="20"/>
                <w:color w:val="auto"/>
              </w:rPr>
            </w:pPr>
          </w:p>
        </w:tc>
        <w:tc>
          <w:tcPr>
            <w:tcW w:w="1000" w:type="dxa"/>
            <w:vAlign w:val="bottom"/>
            <w:tcBorders>
              <w:top w:val="single" w:sz="8" w:color="CCEEFF"/>
            </w:tcBorders>
            <w:shd w:val="clear" w:color="auto" w:fill="CCEEFF"/>
          </w:tcPr>
          <w:p>
            <w:pPr>
              <w:spacing w:after="0"/>
              <w:rPr>
                <w:sz w:val="20"/>
                <w:szCs w:val="20"/>
                <w:color w:val="auto"/>
              </w:rPr>
            </w:pPr>
          </w:p>
        </w:tc>
        <w:tc>
          <w:tcPr>
            <w:tcW w:w="992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2022</w:t>
            </w:r>
          </w:p>
        </w:tc>
      </w:tr>
      <w:tr>
        <w:trPr>
          <w:trHeight w:val="216"/>
        </w:trPr>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920" w:type="dxa"/>
            <w:vAlign w:val="bottom"/>
          </w:tcPr>
          <w:p>
            <w:pPr>
              <w:spacing w:after="0"/>
              <w:rPr>
                <w:sz w:val="18"/>
                <w:szCs w:val="18"/>
                <w:color w:val="auto"/>
              </w:rPr>
            </w:pPr>
          </w:p>
        </w:tc>
      </w:tr>
      <w:tr>
        <w:trPr>
          <w:trHeight w:val="175"/>
        </w:trPr>
        <w:tc>
          <w:tcPr>
            <w:tcW w:w="13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3</w:t>
            </w:r>
          </w:p>
        </w:tc>
        <w:tc>
          <w:tcPr>
            <w:tcW w:w="9920" w:type="dxa"/>
            <w:vAlign w:val="bottom"/>
            <w:shd w:val="clear" w:color="auto" w:fill="CCEEFF"/>
          </w:tcPr>
          <w:p>
            <w:pPr>
              <w:ind w:left="420"/>
              <w:spacing w:after="0" w:line="176" w:lineRule="exact"/>
              <w:rPr>
                <w:sz w:val="20"/>
                <w:szCs w:val="20"/>
                <w:color w:val="auto"/>
              </w:rPr>
            </w:pPr>
            <w:r>
              <w:rPr>
                <w:rFonts w:ascii="Arial" w:cs="Arial" w:eastAsia="Arial" w:hAnsi="Arial"/>
                <w:sz w:val="18"/>
                <w:szCs w:val="18"/>
                <w:color w:val="auto"/>
                <w:w w:val="92"/>
              </w:rPr>
              <w:t>Management’s Discussion and Analysis of Financial Condition and Results of Operations for the Three Months and Nine Months</w:t>
            </w:r>
          </w:p>
        </w:tc>
      </w:tr>
      <w:tr>
        <w:trPr>
          <w:trHeight w:val="236"/>
        </w:trPr>
        <w:tc>
          <w:tcPr>
            <w:tcW w:w="320" w:type="dxa"/>
            <w:vAlign w:val="bottom"/>
            <w:tcBorders>
              <w:top w:val="single" w:sz="8" w:color="0000EE"/>
            </w:tcBorders>
            <w:shd w:val="clear" w:color="auto" w:fill="CCEEFF"/>
          </w:tcPr>
          <w:p>
            <w:pPr>
              <w:spacing w:after="0"/>
              <w:rPr>
                <w:sz w:val="20"/>
                <w:szCs w:val="20"/>
                <w:color w:val="auto"/>
              </w:rPr>
            </w:pPr>
          </w:p>
        </w:tc>
        <w:tc>
          <w:tcPr>
            <w:tcW w:w="1000" w:type="dxa"/>
            <w:vAlign w:val="bottom"/>
            <w:tcBorders>
              <w:top w:val="single" w:sz="8" w:color="CCEEFF"/>
            </w:tcBorders>
            <w:shd w:val="clear" w:color="auto" w:fill="CCEEFF"/>
          </w:tcPr>
          <w:p>
            <w:pPr>
              <w:spacing w:after="0"/>
              <w:rPr>
                <w:sz w:val="20"/>
                <w:szCs w:val="20"/>
                <w:color w:val="auto"/>
              </w:rPr>
            </w:pPr>
          </w:p>
        </w:tc>
        <w:tc>
          <w:tcPr>
            <w:tcW w:w="992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Ended September 30, 2022</w:t>
            </w:r>
          </w:p>
        </w:tc>
      </w:tr>
      <w:tr>
        <w:trPr>
          <w:trHeight w:val="426"/>
        </w:trPr>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40" w:firstLine="292"/>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5"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PAGAYA TECHNOLOGIES LTD.</w:t>
      </w:r>
    </w:p>
    <w:p>
      <w:pPr>
        <w:spacing w:after="0" w:line="229" w:lineRule="exact"/>
        <w:rPr>
          <w:sz w:val="20"/>
          <w:szCs w:val="20"/>
          <w:color w:val="auto"/>
        </w:rPr>
      </w:pPr>
    </w:p>
    <w:tbl>
      <w:tblPr>
        <w:tblLayout w:type="fixed"/>
        <w:tblInd w:w="5460" w:type="dxa"/>
        <w:tblCellMar>
          <w:top w:w="0" w:type="dxa"/>
          <w:left w:w="0" w:type="dxa"/>
          <w:bottom w:w="0" w:type="dxa"/>
          <w:right w:w="0" w:type="dxa"/>
        </w:tblCellMar>
      </w:tblP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Gal Krubiner</w:t>
            </w:r>
          </w:p>
        </w:tc>
      </w:tr>
      <w:tr>
        <w:trPr>
          <w:trHeight w:val="202"/>
        </w:trPr>
        <w:tc>
          <w:tcPr>
            <w:tcW w:w="64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Gal Krubiner</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9"/>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Kurlander</w:t>
            </w:r>
          </w:p>
        </w:tc>
      </w:tr>
      <w:tr>
        <w:trPr>
          <w:trHeight w:val="202"/>
        </w:trPr>
        <w:tc>
          <w:tcPr>
            <w:tcW w:w="64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Michael Kurlander</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Date: November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868805" cy="497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6880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Pagaya Reports Third Quarter 2022 Results</w:t>
      </w:r>
    </w:p>
    <w:p>
      <w:pPr>
        <w:spacing w:after="0" w:line="239" w:lineRule="exact"/>
        <w:rPr>
          <w:sz w:val="20"/>
          <w:szCs w:val="20"/>
          <w:color w:val="auto"/>
        </w:rPr>
      </w:pPr>
    </w:p>
    <w:p>
      <w:pPr>
        <w:ind w:right="5120"/>
        <w:spacing w:after="0"/>
        <w:rPr>
          <w:sz w:val="20"/>
          <w:szCs w:val="20"/>
          <w:color w:val="auto"/>
        </w:rPr>
      </w:pPr>
      <w:r>
        <w:rPr>
          <w:rFonts w:ascii="Arial" w:cs="Arial" w:eastAsia="Arial" w:hAnsi="Arial"/>
          <w:sz w:val="22"/>
          <w:szCs w:val="22"/>
          <w:i w:val="1"/>
          <w:iCs w:val="1"/>
          <w:color w:val="auto"/>
        </w:rPr>
        <w:t>3Q’22 Network Volume grows 26% year-over-year to $1.9 billion Total Revenue grows 49% year-over-year to reach record $204 million Adjusted EBITDA of ($5.2) million</w:t>
      </w:r>
    </w:p>
    <w:p>
      <w:pPr>
        <w:spacing w:after="0" w:line="213" w:lineRule="exact"/>
        <w:rPr>
          <w:sz w:val="20"/>
          <w:szCs w:val="20"/>
          <w:color w:val="auto"/>
        </w:rPr>
      </w:pPr>
    </w:p>
    <w:p>
      <w:pPr>
        <w:ind w:right="240"/>
        <w:spacing w:after="0" w:line="297" w:lineRule="auto"/>
        <w:rPr>
          <w:sz w:val="20"/>
          <w:szCs w:val="20"/>
          <w:color w:val="auto"/>
        </w:rPr>
      </w:pPr>
      <w:r>
        <w:rPr>
          <w:rFonts w:ascii="Arial" w:cs="Arial" w:eastAsia="Arial" w:hAnsi="Arial"/>
          <w:sz w:val="19"/>
          <w:szCs w:val="19"/>
          <w:color w:val="434343"/>
        </w:rPr>
        <w:t>New York, NY and Tel Aviv, Israel – November 10, 2022 – Pagaya Technologies Ltd. (NASDAQ: PGY) (“Pagaya”, the “Company” or “we” ), a global technology company delivering artificial intelligence infrastructure for the financial ecosystem, today announced financial results for the third quarter ending September 30, 2022 and updates to its full-year 2022 outlook.</w:t>
      </w:r>
    </w:p>
    <w:p>
      <w:pPr>
        <w:spacing w:after="0" w:line="161"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i w:val="1"/>
          <w:iCs w:val="1"/>
          <w:color w:val="434343"/>
        </w:rPr>
        <w:t>“We delivered another quarter of strong network volume and total revenue growth year-over-year, resulting in the highest quarterly revenue in our 6-year history. These results reflect the power of the network infrastructure we have created, the “rails” that connect our partners, investors, and consumers across the country,” said Gal Krubiner, Chief Executive Officer of Pagaya. “We believe we have built a unique business, led by an experienced management team, that will enable us to navigate the current macroeconomic cycle and continue executing on our mission.”</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434343"/>
        </w:rPr>
        <w:t>Third Quarter 2022 Financial Highlights</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i w:val="1"/>
          <w:iCs w:val="1"/>
          <w:color w:val="434343"/>
        </w:rPr>
        <w:t>All comparisons are made versus the same period in 2021 unless otherwise stated</w:t>
      </w:r>
    </w:p>
    <w:p>
      <w:pPr>
        <w:ind w:left="660" w:hanging="328"/>
        <w:spacing w:after="0"/>
        <w:tabs>
          <w:tab w:leader="none" w:pos="660" w:val="left"/>
        </w:tabs>
        <w:numPr>
          <w:ilvl w:val="0"/>
          <w:numId w:val="1"/>
        </w:numPr>
        <w:rPr>
          <w:rFonts w:ascii="Arial" w:cs="Arial" w:eastAsia="Arial" w:hAnsi="Arial"/>
          <w:sz w:val="18"/>
          <w:szCs w:val="18"/>
          <w:color w:val="434343"/>
        </w:rPr>
      </w:pPr>
      <w:r>
        <w:rPr>
          <w:rFonts w:ascii="Arial" w:cs="Arial" w:eastAsia="Arial" w:hAnsi="Arial"/>
          <w:sz w:val="18"/>
          <w:szCs w:val="18"/>
          <w:color w:val="434343"/>
        </w:rPr>
        <w:t>Network Volume increased 26% to $1.9 billion, reflecting strong growth from existing partnerships and newer products</w:t>
      </w:r>
    </w:p>
    <w:p>
      <w:pPr>
        <w:spacing w:after="0" w:line="7" w:lineRule="exact"/>
        <w:rPr>
          <w:rFonts w:ascii="Arial" w:cs="Arial" w:eastAsia="Arial" w:hAnsi="Arial"/>
          <w:sz w:val="18"/>
          <w:szCs w:val="18"/>
          <w:color w:val="434343"/>
        </w:rPr>
      </w:pPr>
    </w:p>
    <w:p>
      <w:pPr>
        <w:ind w:left="660" w:hanging="328"/>
        <w:spacing w:after="0"/>
        <w:tabs>
          <w:tab w:leader="none" w:pos="660" w:val="left"/>
        </w:tabs>
        <w:numPr>
          <w:ilvl w:val="0"/>
          <w:numId w:val="1"/>
        </w:numPr>
        <w:rPr>
          <w:rFonts w:ascii="Arial" w:cs="Arial" w:eastAsia="Arial" w:hAnsi="Arial"/>
          <w:sz w:val="18"/>
          <w:szCs w:val="18"/>
          <w:color w:val="434343"/>
        </w:rPr>
      </w:pPr>
      <w:r>
        <w:rPr>
          <w:rFonts w:ascii="Arial" w:cs="Arial" w:eastAsia="Arial" w:hAnsi="Arial"/>
          <w:sz w:val="18"/>
          <w:szCs w:val="18"/>
          <w:color w:val="434343"/>
        </w:rPr>
        <w:t>Total revenue and other income increased 49% to $204.0 million, mainly due to increased fee revenue from Network Volume growth</w:t>
      </w:r>
    </w:p>
    <w:p>
      <w:pPr>
        <w:spacing w:after="0" w:line="9" w:lineRule="exact"/>
        <w:rPr>
          <w:rFonts w:ascii="Arial" w:cs="Arial" w:eastAsia="Arial" w:hAnsi="Arial"/>
          <w:sz w:val="18"/>
          <w:szCs w:val="18"/>
          <w:color w:val="434343"/>
        </w:rPr>
      </w:pPr>
    </w:p>
    <w:p>
      <w:pPr>
        <w:ind w:left="660" w:right="120" w:hanging="328"/>
        <w:spacing w:after="0" w:line="265" w:lineRule="auto"/>
        <w:tabs>
          <w:tab w:leader="none" w:pos="660" w:val="left"/>
        </w:tabs>
        <w:numPr>
          <w:ilvl w:val="0"/>
          <w:numId w:val="1"/>
        </w:numPr>
        <w:rPr>
          <w:rFonts w:ascii="Arial" w:cs="Arial" w:eastAsia="Arial" w:hAnsi="Arial"/>
          <w:sz w:val="17"/>
          <w:szCs w:val="17"/>
          <w:color w:val="434343"/>
        </w:rPr>
      </w:pPr>
      <w:r>
        <w:rPr>
          <w:rFonts w:ascii="Arial" w:cs="Arial" w:eastAsia="Arial" w:hAnsi="Arial"/>
          <w:sz w:val="17"/>
          <w:szCs w:val="17"/>
          <w:color w:val="434343"/>
        </w:rPr>
        <w:t>Net loss attributable to Pagaya shareholders of $74.8 million, impacted by share-based compensation of $60.3 million. Adjusted net loss of $14.4 million, which excludes share-based compensation expense, a change in fair value of warrant liability and non-recurring expenses</w:t>
      </w:r>
    </w:p>
    <w:p>
      <w:pPr>
        <w:ind w:left="660" w:right="220" w:hanging="328"/>
        <w:spacing w:after="0" w:line="260" w:lineRule="auto"/>
        <w:tabs>
          <w:tab w:leader="none" w:pos="660" w:val="left"/>
        </w:tabs>
        <w:numPr>
          <w:ilvl w:val="0"/>
          <w:numId w:val="1"/>
        </w:numPr>
        <w:rPr>
          <w:rFonts w:ascii="Arial" w:cs="Arial" w:eastAsia="Arial" w:hAnsi="Arial"/>
          <w:sz w:val="18"/>
          <w:szCs w:val="18"/>
          <w:color w:val="434343"/>
        </w:rPr>
      </w:pPr>
      <w:r>
        <w:rPr>
          <w:rFonts w:ascii="Arial" w:cs="Arial" w:eastAsia="Arial" w:hAnsi="Arial"/>
          <w:sz w:val="18"/>
          <w:szCs w:val="18"/>
          <w:color w:val="434343"/>
        </w:rPr>
        <w:t>Adjusted EBITDA of negative $5.2 million, reflecting lower margins in newer programs, financial markets volatility and ongoing investment in the business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434343"/>
        </w:rPr>
        <w:t>Recent Business Highlights</w:t>
      </w:r>
    </w:p>
    <w:p>
      <w:pPr>
        <w:spacing w:after="0" w:line="19" w:lineRule="exact"/>
        <w:rPr>
          <w:sz w:val="20"/>
          <w:szCs w:val="20"/>
          <w:color w:val="auto"/>
        </w:rPr>
      </w:pPr>
    </w:p>
    <w:p>
      <w:pPr>
        <w:ind w:left="660" w:right="120" w:hanging="328"/>
        <w:spacing w:after="0" w:line="249" w:lineRule="auto"/>
        <w:tabs>
          <w:tab w:leader="none" w:pos="660" w:val="left"/>
        </w:tabs>
        <w:numPr>
          <w:ilvl w:val="0"/>
          <w:numId w:val="2"/>
        </w:numPr>
        <w:rPr>
          <w:rFonts w:ascii="Arial" w:cs="Arial" w:eastAsia="Arial" w:hAnsi="Arial"/>
          <w:sz w:val="18"/>
          <w:szCs w:val="18"/>
          <w:color w:val="434343"/>
        </w:rPr>
      </w:pPr>
      <w:r>
        <w:rPr>
          <w:rFonts w:ascii="Arial" w:cs="Arial" w:eastAsia="Arial" w:hAnsi="Arial"/>
          <w:sz w:val="18"/>
          <w:szCs w:val="18"/>
          <w:b w:val="1"/>
          <w:bCs w:val="1"/>
          <w:color w:val="434343"/>
        </w:rPr>
        <w:t xml:space="preserve">Network expansion: </w:t>
      </w:r>
      <w:r>
        <w:rPr>
          <w:rFonts w:ascii="Arial" w:cs="Arial" w:eastAsia="Arial" w:hAnsi="Arial"/>
          <w:sz w:val="18"/>
          <w:szCs w:val="18"/>
          <w:color w:val="434343"/>
        </w:rPr>
        <w:t>Monthly application flow from existing partners grew by approximately 20% from January to September 2022. Top 3 Auto</w:t>
      </w:r>
      <w:r>
        <w:rPr>
          <w:rFonts w:ascii="Arial" w:cs="Arial" w:eastAsia="Arial" w:hAnsi="Arial"/>
          <w:sz w:val="18"/>
          <w:szCs w:val="18"/>
          <w:b w:val="1"/>
          <w:bCs w:val="1"/>
          <w:color w:val="434343"/>
        </w:rPr>
        <w:t xml:space="preserve"> </w:t>
      </w:r>
      <w:r>
        <w:rPr>
          <w:rFonts w:ascii="Arial" w:cs="Arial" w:eastAsia="Arial" w:hAnsi="Arial"/>
          <w:sz w:val="18"/>
          <w:szCs w:val="18"/>
          <w:color w:val="434343"/>
        </w:rPr>
        <w:t>partner onboarded in May enabling further expansion in Auto product, with dealership representation in over 70% of all U.S. franchise dealerships. Top-tier PoS partner onboarded onto the Company’s platform</w:t>
      </w:r>
    </w:p>
    <w:p>
      <w:pPr>
        <w:spacing w:after="0" w:line="2" w:lineRule="exact"/>
        <w:rPr>
          <w:rFonts w:ascii="Arial" w:cs="Arial" w:eastAsia="Arial" w:hAnsi="Arial"/>
          <w:sz w:val="18"/>
          <w:szCs w:val="18"/>
          <w:color w:val="434343"/>
        </w:rPr>
      </w:pPr>
    </w:p>
    <w:p>
      <w:pPr>
        <w:ind w:left="660" w:right="440" w:hanging="328"/>
        <w:spacing w:after="0" w:line="281" w:lineRule="auto"/>
        <w:tabs>
          <w:tab w:leader="none" w:pos="660" w:val="left"/>
        </w:tabs>
        <w:numPr>
          <w:ilvl w:val="0"/>
          <w:numId w:val="2"/>
        </w:numPr>
        <w:rPr>
          <w:rFonts w:ascii="Arial" w:cs="Arial" w:eastAsia="Arial" w:hAnsi="Arial"/>
          <w:sz w:val="16"/>
          <w:szCs w:val="16"/>
          <w:color w:val="434343"/>
        </w:rPr>
      </w:pPr>
      <w:r>
        <w:rPr>
          <w:rFonts w:ascii="Arial" w:cs="Arial" w:eastAsia="Arial" w:hAnsi="Arial"/>
          <w:sz w:val="16"/>
          <w:szCs w:val="16"/>
          <w:b w:val="1"/>
          <w:bCs w:val="1"/>
          <w:color w:val="434343"/>
        </w:rPr>
        <w:t xml:space="preserve">Consistently raising capital: </w:t>
      </w:r>
      <w:r>
        <w:rPr>
          <w:rFonts w:ascii="Arial" w:cs="Arial" w:eastAsia="Arial" w:hAnsi="Arial"/>
          <w:sz w:val="16"/>
          <w:szCs w:val="16"/>
          <w:color w:val="434343"/>
        </w:rPr>
        <w:t>Raised over $2 billion of investor capital into financing vehicles in the third quarter, in both public and private</w:t>
      </w:r>
      <w:r>
        <w:rPr>
          <w:rFonts w:ascii="Arial" w:cs="Arial" w:eastAsia="Arial" w:hAnsi="Arial"/>
          <w:sz w:val="16"/>
          <w:szCs w:val="16"/>
          <w:b w:val="1"/>
          <w:bCs w:val="1"/>
          <w:color w:val="434343"/>
        </w:rPr>
        <w:t xml:space="preserve"> </w:t>
      </w:r>
      <w:r>
        <w:rPr>
          <w:rFonts w:ascii="Arial" w:cs="Arial" w:eastAsia="Arial" w:hAnsi="Arial"/>
          <w:sz w:val="16"/>
          <w:szCs w:val="16"/>
          <w:color w:val="434343"/>
        </w:rPr>
        <w:t>capital markets. Triple-A rating achieved from Moody’s and DBRS on Company's most recent single-family-rental ABS transaction</w:t>
      </w:r>
    </w:p>
    <w:p>
      <w:pPr>
        <w:spacing w:after="0" w:line="1" w:lineRule="exact"/>
        <w:rPr>
          <w:rFonts w:ascii="Arial" w:cs="Arial" w:eastAsia="Arial" w:hAnsi="Arial"/>
          <w:sz w:val="16"/>
          <w:szCs w:val="16"/>
          <w:color w:val="434343"/>
        </w:rPr>
      </w:pPr>
    </w:p>
    <w:p>
      <w:pPr>
        <w:ind w:left="660" w:right="160" w:hanging="328"/>
        <w:spacing w:after="0" w:line="255" w:lineRule="auto"/>
        <w:tabs>
          <w:tab w:leader="none" w:pos="660" w:val="left"/>
        </w:tabs>
        <w:numPr>
          <w:ilvl w:val="0"/>
          <w:numId w:val="2"/>
        </w:numPr>
        <w:rPr>
          <w:rFonts w:ascii="Arial" w:cs="Arial" w:eastAsia="Arial" w:hAnsi="Arial"/>
          <w:sz w:val="18"/>
          <w:szCs w:val="18"/>
          <w:color w:val="434343"/>
        </w:rPr>
      </w:pPr>
      <w:r>
        <w:rPr>
          <w:rFonts w:ascii="Arial" w:cs="Arial" w:eastAsia="Arial" w:hAnsi="Arial"/>
          <w:sz w:val="18"/>
          <w:szCs w:val="18"/>
          <w:b w:val="1"/>
          <w:bCs w:val="1"/>
          <w:color w:val="434343"/>
        </w:rPr>
        <w:t xml:space="preserve">Strengthening Pagaya’s network infrastructure: </w:t>
      </w:r>
      <w:r>
        <w:rPr>
          <w:rFonts w:ascii="Arial" w:cs="Arial" w:eastAsia="Arial" w:hAnsi="Arial"/>
          <w:sz w:val="18"/>
          <w:szCs w:val="18"/>
          <w:color w:val="434343"/>
        </w:rPr>
        <w:t>Continued strong application flow from existing and new partners, with 77 million</w:t>
      </w:r>
      <w:r>
        <w:rPr>
          <w:rFonts w:ascii="Arial" w:cs="Arial" w:eastAsia="Arial" w:hAnsi="Arial"/>
          <w:sz w:val="18"/>
          <w:szCs w:val="18"/>
          <w:b w:val="1"/>
          <w:bCs w:val="1"/>
          <w:color w:val="434343"/>
        </w:rPr>
        <w:t xml:space="preserve"> </w:t>
      </w:r>
      <w:r>
        <w:rPr>
          <w:rFonts w:ascii="Arial" w:cs="Arial" w:eastAsia="Arial" w:hAnsi="Arial"/>
          <w:sz w:val="18"/>
          <w:szCs w:val="18"/>
          <w:color w:val="434343"/>
        </w:rPr>
        <w:t>applications evaluated from the beginning of 2019 through the third quarter of 2022. 41 million applications evaluated in the first nine months of 2022, representing 120% growth compared to the same period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434343"/>
        </w:rPr>
        <w:drawing>
          <wp:anchor simplePos="0" relativeHeight="251657728" behindDoc="1" locked="0" layoutInCell="0" allowOverlap="1">
            <wp:simplePos x="0" y="0"/>
            <wp:positionH relativeFrom="page">
              <wp:posOffset>208280</wp:posOffset>
            </wp:positionH>
            <wp:positionV relativeFrom="page">
              <wp:posOffset>88900</wp:posOffset>
            </wp:positionV>
            <wp:extent cx="1868805"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868805" cy="497205"/>
                    </a:xfrm>
                    <a:prstGeom prst="rect">
                      <a:avLst/>
                    </a:prstGeom>
                    <a:noFill/>
                  </pic:spPr>
                </pic:pic>
              </a:graphicData>
            </a:graphic>
          </wp:anchor>
        </w:drawing>
        <w:t>Full-Year 2022 Outlook</w:t>
      </w:r>
    </w:p>
    <w:p>
      <w:pPr>
        <w:spacing w:after="0" w:line="239"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434343"/>
        </w:rPr>
        <w:t>The Company is maintaining its prior outlook for full-year 2022, with Network Volume and Adjusted EBITDA expected to be at the low end of their respective ranges.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FY22</w:t>
            </w:r>
          </w:p>
        </w:tc>
        <w:tc>
          <w:tcPr>
            <w:tcW w:w="4860" w:type="dxa"/>
            <w:vAlign w:val="bottom"/>
          </w:tcPr>
          <w:p>
            <w:pPr>
              <w:spacing w:after="0"/>
              <w:rPr>
                <w:sz w:val="17"/>
                <w:szCs w:val="17"/>
                <w:color w:val="auto"/>
              </w:rPr>
            </w:pPr>
          </w:p>
        </w:tc>
      </w:tr>
      <w:tr>
        <w:trPr>
          <w:trHeight w:val="222"/>
        </w:trPr>
        <w:tc>
          <w:tcPr>
            <w:tcW w:w="1700" w:type="dxa"/>
            <w:vAlign w:val="bottom"/>
          </w:tcPr>
          <w:p>
            <w:pPr>
              <w:spacing w:after="0"/>
              <w:rPr>
                <w:sz w:val="20"/>
                <w:szCs w:val="20"/>
                <w:color w:val="auto"/>
              </w:rPr>
            </w:pPr>
            <w:r>
              <w:rPr>
                <w:rFonts w:ascii="Arial" w:cs="Arial" w:eastAsia="Arial" w:hAnsi="Arial"/>
                <w:sz w:val="18"/>
                <w:szCs w:val="18"/>
                <w:color w:val="auto"/>
              </w:rPr>
              <w:t>Network Volume</w:t>
            </w:r>
          </w:p>
        </w:tc>
        <w:tc>
          <w:tcPr>
            <w:tcW w:w="5280" w:type="dxa"/>
            <w:vAlign w:val="bottom"/>
            <w:gridSpan w:val="2"/>
          </w:tcPr>
          <w:p>
            <w:pPr>
              <w:spacing w:after="0"/>
              <w:rPr>
                <w:sz w:val="20"/>
                <w:szCs w:val="20"/>
                <w:color w:val="auto"/>
              </w:rPr>
            </w:pPr>
            <w:r>
              <w:rPr>
                <w:rFonts w:ascii="Arial" w:cs="Arial" w:eastAsia="Arial" w:hAnsi="Arial"/>
                <w:sz w:val="18"/>
                <w:szCs w:val="18"/>
                <w:color w:val="auto"/>
              </w:rPr>
              <w:t>Expected to range between $7.2 billion and $7.8 billion</w:t>
            </w:r>
          </w:p>
        </w:tc>
      </w:tr>
      <w:tr>
        <w:trPr>
          <w:trHeight w:val="216"/>
        </w:trPr>
        <w:tc>
          <w:tcPr>
            <w:tcW w:w="1700" w:type="dxa"/>
            <w:vAlign w:val="bottom"/>
          </w:tcPr>
          <w:p>
            <w:pPr>
              <w:spacing w:after="0"/>
              <w:rPr>
                <w:sz w:val="20"/>
                <w:szCs w:val="20"/>
                <w:color w:val="auto"/>
              </w:rPr>
            </w:pPr>
            <w:r>
              <w:rPr>
                <w:rFonts w:ascii="Arial" w:cs="Arial" w:eastAsia="Arial" w:hAnsi="Arial"/>
                <w:sz w:val="18"/>
                <w:szCs w:val="18"/>
                <w:color w:val="auto"/>
              </w:rPr>
              <w:t>Total Revenue</w:t>
            </w:r>
          </w:p>
        </w:tc>
        <w:tc>
          <w:tcPr>
            <w:tcW w:w="5280" w:type="dxa"/>
            <w:vAlign w:val="bottom"/>
            <w:gridSpan w:val="2"/>
          </w:tcPr>
          <w:p>
            <w:pPr>
              <w:spacing w:after="0"/>
              <w:rPr>
                <w:sz w:val="20"/>
                <w:szCs w:val="20"/>
                <w:color w:val="auto"/>
              </w:rPr>
            </w:pPr>
            <w:r>
              <w:rPr>
                <w:rFonts w:ascii="Arial" w:cs="Arial" w:eastAsia="Arial" w:hAnsi="Arial"/>
                <w:sz w:val="18"/>
                <w:szCs w:val="18"/>
                <w:color w:val="auto"/>
              </w:rPr>
              <w:t>Expected to range between $700 million and $725 million</w:t>
            </w:r>
          </w:p>
        </w:tc>
      </w:tr>
      <w:tr>
        <w:trPr>
          <w:trHeight w:val="230"/>
        </w:trPr>
        <w:tc>
          <w:tcPr>
            <w:tcW w:w="1700" w:type="dxa"/>
            <w:vAlign w:val="bottom"/>
          </w:tcPr>
          <w:p>
            <w:pPr>
              <w:spacing w:after="0"/>
              <w:rPr>
                <w:sz w:val="20"/>
                <w:szCs w:val="20"/>
                <w:color w:val="auto"/>
              </w:rPr>
            </w:pPr>
            <w:r>
              <w:rPr>
                <w:rFonts w:ascii="Arial" w:cs="Arial" w:eastAsia="Arial" w:hAnsi="Arial"/>
                <w:sz w:val="18"/>
                <w:szCs w:val="18"/>
                <w:color w:val="auto"/>
              </w:rPr>
              <w:t>Adjusted EBITDA</w:t>
            </w:r>
          </w:p>
        </w:tc>
        <w:tc>
          <w:tcPr>
            <w:tcW w:w="5280" w:type="dxa"/>
            <w:vAlign w:val="bottom"/>
            <w:gridSpan w:val="2"/>
          </w:tcPr>
          <w:p>
            <w:pPr>
              <w:spacing w:after="0"/>
              <w:rPr>
                <w:sz w:val="20"/>
                <w:szCs w:val="20"/>
                <w:color w:val="auto"/>
              </w:rPr>
            </w:pPr>
            <w:r>
              <w:rPr>
                <w:rFonts w:ascii="Arial" w:cs="Arial" w:eastAsia="Arial" w:hAnsi="Arial"/>
                <w:sz w:val="18"/>
                <w:szCs w:val="18"/>
                <w:color w:val="auto"/>
                <w:w w:val="91"/>
              </w:rPr>
              <w:t>Expected to range between negative $20 million and positive $10 million</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Webcast</w:t>
      </w:r>
    </w:p>
    <w:p>
      <w:pPr>
        <w:spacing w:after="0" w:line="14" w:lineRule="exact"/>
        <w:rPr>
          <w:sz w:val="20"/>
          <w:szCs w:val="20"/>
          <w:color w:val="auto"/>
        </w:rPr>
      </w:pPr>
    </w:p>
    <w:p>
      <w:pPr>
        <w:ind w:right="80"/>
        <w:spacing w:after="0" w:line="277" w:lineRule="auto"/>
        <w:rPr>
          <w:sz w:val="20"/>
          <w:szCs w:val="20"/>
          <w:color w:val="auto"/>
        </w:rPr>
      </w:pPr>
      <w:r>
        <w:rPr>
          <w:rFonts w:ascii="Arial" w:cs="Arial" w:eastAsia="Arial" w:hAnsi="Arial"/>
          <w:sz w:val="19"/>
          <w:szCs w:val="19"/>
          <w:color w:val="434343"/>
        </w:rPr>
        <w:t>The Company will hold a webcast and conference call today, November 10, 2022 at 5:00 p.m. Eastern Time. A live webcast of the call will be available via the Investor Relations section of the Company’s website at investor.pagaya.com. To listen to the live webcast, please go to the site at least five minutes prior to the scheduled start time in order to register, download and install any necessary audio software. Shortly before the call, a copy of the accompanying presentation will be made available on the Company’s website. Shortly after the call, a replay of the webcast will be available for 90 days on the Company’s website.</w:t>
      </w:r>
    </w:p>
    <w:p>
      <w:pPr>
        <w:spacing w:after="0" w:line="179" w:lineRule="exact"/>
        <w:rPr>
          <w:sz w:val="20"/>
          <w:szCs w:val="20"/>
          <w:color w:val="auto"/>
        </w:rPr>
      </w:pPr>
    </w:p>
    <w:p>
      <w:pPr>
        <w:spacing w:after="0" w:line="238" w:lineRule="auto"/>
        <w:rPr>
          <w:sz w:val="20"/>
          <w:szCs w:val="20"/>
          <w:color w:val="auto"/>
        </w:rPr>
      </w:pPr>
      <w:r>
        <w:rPr>
          <w:rFonts w:ascii="Arial" w:cs="Arial" w:eastAsia="Arial" w:hAnsi="Arial"/>
          <w:sz w:val="22"/>
          <w:szCs w:val="22"/>
          <w:color w:val="434343"/>
        </w:rPr>
        <w:t>The conference call can also be accessed by dialing 1-888-396-8064 or 1-416-764-8649. The telephone replay can be accessed by dialing 1-844-512-2921 or 1-412-317-6671 and providing the conference ID# 00585771. The telephone replay will be available starting shortly after the call until November 24, 2022. A replay will also be available on the Investor Relations website following the call.</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Pagaya Technologies</w:t>
      </w:r>
    </w:p>
    <w:p>
      <w:pPr>
        <w:spacing w:after="0" w:line="14" w:lineRule="exact"/>
        <w:rPr>
          <w:sz w:val="20"/>
          <w:szCs w:val="20"/>
          <w:color w:val="auto"/>
        </w:rPr>
      </w:pPr>
    </w:p>
    <w:p>
      <w:pPr>
        <w:ind w:right="120"/>
        <w:spacing w:after="0" w:line="244" w:lineRule="auto"/>
        <w:rPr>
          <w:sz w:val="20"/>
          <w:szCs w:val="20"/>
          <w:color w:val="auto"/>
        </w:rPr>
      </w:pPr>
      <w:r>
        <w:rPr>
          <w:rFonts w:ascii="Arial" w:cs="Arial" w:eastAsia="Arial" w:hAnsi="Arial"/>
          <w:sz w:val="21"/>
          <w:szCs w:val="21"/>
          <w:color w:val="434343"/>
        </w:rPr>
        <w:t xml:space="preserve">Pagaya (NASDAQ: PGY) is a global technology company making life-changing financial products and services available to more people nationwide, as it reshapes the financial services ecosystem. By using machine learning, a vast data network and a sophisticated AI-driven approach, Pagaya provides comprehensive consumer credit and residential real estate solutions for its partners, their customers, and investors. Its proprietary API and capital solutions integrate into its network of partners to deliver seamless user experiences and greater access to the mainstream economy. Pagaya has offices in New York, Tel Aviv and Boston. For more information, visit </w:t>
      </w:r>
      <w:r>
        <w:rPr>
          <w:rFonts w:ascii="Arial" w:cs="Arial" w:eastAsia="Arial" w:hAnsi="Arial"/>
          <w:sz w:val="21"/>
          <w:szCs w:val="21"/>
          <w:u w:val="single" w:color="auto"/>
          <w:color w:val="000000"/>
        </w:rPr>
        <w:t>pagaya.com</w:t>
      </w:r>
      <w:r>
        <w:rPr>
          <w:rFonts w:ascii="Arial" w:cs="Arial" w:eastAsia="Arial" w:hAnsi="Arial"/>
          <w:sz w:val="21"/>
          <w:szCs w:val="21"/>
          <w:color w:val="434343"/>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Cautionary Note About Forward-Looking Statements</w:t>
      </w:r>
    </w:p>
    <w:p>
      <w:pPr>
        <w:spacing w:after="0" w:line="14"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document contains forward-looking statements within the meaning of Section 27A of the Securities Act of 1933, as amended, and Section 21E of the Securities Exchange Act of 1934, as amended, that involve risks and uncertainties. These forward-looking statements generally are identified by the words “anticipate”, “believe”, “continue”, “can,” “could”, “estimate”, “expect”, “intend”, “may”, “opportunity”, “future”, “strategy”, “might”, “outlook”, “plan”, “possible”, “potential”, “predict”, “project”, “should”, “strive”, “will,” “would”, “will be”, “will continue”, “will likely result”, and similar expressions. All statements other than statements of historical fact are forward-looking statements, including statements regarding: the Company's strategy and future operations, including the Company's partnerships with certain key providers; the development, innovation, introduction and performance of, and demand for, the Company's products and services; the Company’s ability to continue to invest in the long-term growth and scalability of its business; the Company's future growth, investments, brand awareness, financial position, gross market value, revenue, transaction costs, operating income, provision for credit losses, and cash flows; and general economic trends and trends in the Company's industry and markets; and the Company’s financial outlook for the full year of 2022. These forward-looking statements involve known and unknown risks, uncertainties and other important factors that may cause the Company's actual results, performance or achievements to be materially different from any future results, performance or achievements expressed or implied by the forward-looking statements. Risks, uncertainties and assumptions include factors relating to: the Company's ability to attract new partners and to retain and grow its relationships with existing partners to support the underlying investment needs for its securitizations and funds products; the need to maintain a consistently high level of trust in its brand; the concentration of a large percentage of its investment revenue with a small number of partners and platforms; its ability to sustain its revenue growth rate or the growth rate of its related key operating metrics; its ability to improve, operate and implement its technology, its existing funding arrangements for the Company and its affiliates that may not be renewed or replaced or its existing funding sources that may be unwilling or unable to provide funding to it on terms acceptable to it, or at all; the performance of loans facilitated through its model; changes in market interest rates; its securitizations, warehouse credit facility agreements; the impact on its business of general economic conditions, including, but not limited to rising interest rates, inflation, supply chain disruptions, exchange rate fluctuations and labor shortages; the effect of and uncertainties related to the COVID-19 pandemic (including any government responses thereto); the financial performance of its partners, and fluctuations in the U.S. consumer credit and housing market; its ability to grow effectively through strategic alliances; seasonal fluctuations in our revenue as a result of consumer spending and saving patterns; pending and future litigation, regulatory actions and/or compliance issues including with respect to the merger with EJF Acquisition Corp.; and other risks that are described in and the Company’s Form 6-K filed on August 16, 2022 and subsequent filings with the U.S. Securities and Exchange Commission. These forward-looking statements reflect the Company's views with respect to future events as of the date hereof and are based on assumptions and subject to risks and uncertainties. Given these uncertainties, investors should not place undue reliance on these forward-looking statements. The forward-looking statements are made as of the date hereof, reflect the Company’s current beliefs and are based on information currently available as of the date they are made, and the Company assumes no obligation and does not intend to update these forward-looking statements.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Information; Non-GAAP Financial Measures</w:t>
      </w:r>
    </w:p>
    <w:p>
      <w:pPr>
        <w:spacing w:after="0" w:line="14"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Some of the financial information and data contained in this press release and Form 6-K, such as Adjusted EBITDA, have not been prepared in accordance with United States generally accepted accounting principles (“GAAP”). To supplement the consolidated financial statements prepared and presented in accordance with GAAP, management uses the non-GAAP financial measures Adjusted Net Income (Loss) and Adjusted EBITDA to provide investors with additional information about our financial performance and to enhance the overall understanding of the results of operations by highlighting the results from ongoing operations and the underlying profitability of our business. Management believes it provides an additional tool for investors to use in comparing our core financial performance over multiple periods with the performance of other companies. However, non-GAAP financial measures have limitations in their usefulness to investors because they have no standardized meaning prescribed by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consolidated financial statements prepared and presented in accordance with GAAP. To address these limitations, management provides a reconciliation of Adjusted Net Income (Loss) and Adjusted EBITDA to net income (loss) attributable to Pagaya’s shareholders. Management encourages investors and others to review our financial information in its entirety, not to rely on any single financial measure and to view Adjusted Net Income (Loss) and Adjusted EBITDA in conjunction with its respective related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186880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868805" cy="497205"/>
                    </a:xfrm>
                    <a:prstGeom prst="rect">
                      <a:avLst/>
                    </a:prstGeom>
                    <a:noFill/>
                  </pic:spPr>
                </pic:pic>
              </a:graphicData>
            </a:graphic>
          </wp:anchor>
        </w:drawing>
        <w:t>Non-GAAP financial measures include the following item:</w:t>
      </w:r>
    </w:p>
    <w:p>
      <w:pPr>
        <w:spacing w:after="0" w:line="8" w:lineRule="exact"/>
        <w:rPr>
          <w:sz w:val="20"/>
          <w:szCs w:val="20"/>
          <w:color w:val="auto"/>
        </w:rPr>
      </w:pPr>
    </w:p>
    <w:p>
      <w:pPr>
        <w:ind w:right="360"/>
        <w:spacing w:after="0" w:line="234" w:lineRule="auto"/>
        <w:rPr>
          <w:sz w:val="20"/>
          <w:szCs w:val="20"/>
          <w:color w:val="auto"/>
        </w:rPr>
      </w:pPr>
      <w:r>
        <w:rPr>
          <w:rFonts w:ascii="Arial" w:cs="Arial" w:eastAsia="Arial" w:hAnsi="Arial"/>
          <w:sz w:val="22"/>
          <w:szCs w:val="22"/>
          <w:u w:val="single" w:color="auto"/>
          <w:color w:val="auto"/>
        </w:rPr>
        <w:t>Adjusted Net Income (Loss)</w:t>
      </w:r>
      <w:r>
        <w:rPr>
          <w:rFonts w:ascii="Arial" w:cs="Arial" w:eastAsia="Arial" w:hAnsi="Arial"/>
          <w:sz w:val="22"/>
          <w:szCs w:val="22"/>
          <w:color w:val="auto"/>
        </w:rPr>
        <w:t xml:space="preserve"> is defined as net income (loss) attributable to Pagaya Technologies Ltd.’s shareholders excluding share-based compensation expense, change in fair value of warrant liability, and non-recurring expenses associated with the business combination with EJF Acquisition Corp. (the “Merger”).</w:t>
      </w:r>
    </w:p>
    <w:p>
      <w:pPr>
        <w:spacing w:after="0" w:line="214" w:lineRule="exact"/>
        <w:rPr>
          <w:sz w:val="20"/>
          <w:szCs w:val="20"/>
          <w:color w:val="auto"/>
        </w:rPr>
      </w:pPr>
    </w:p>
    <w:p>
      <w:pPr>
        <w:ind w:right="120"/>
        <w:spacing w:after="0"/>
        <w:rPr>
          <w:sz w:val="20"/>
          <w:szCs w:val="20"/>
          <w:color w:val="auto"/>
        </w:rPr>
      </w:pPr>
      <w:r>
        <w:rPr>
          <w:rFonts w:ascii="Arial" w:cs="Arial" w:eastAsia="Arial" w:hAnsi="Arial"/>
          <w:sz w:val="22"/>
          <w:szCs w:val="22"/>
          <w:u w:val="single" w:color="auto"/>
          <w:color w:val="auto"/>
        </w:rPr>
        <w:t>Adjusted EBITDA</w:t>
      </w:r>
      <w:r>
        <w:rPr>
          <w:rFonts w:ascii="Arial" w:cs="Arial" w:eastAsia="Arial" w:hAnsi="Arial"/>
          <w:sz w:val="22"/>
          <w:szCs w:val="22"/>
          <w:color w:val="auto"/>
        </w:rPr>
        <w:t xml:space="preserve"> is defined as net income (loss) attributable to Pagaya Technologies Ltd.’s shareholders excluding share-based compensation expense, change in fair value of warrant liability, non-recurring expenses associated with the Merger, interest expense, depreciation expense, and provision for income taxes.</w:t>
      </w:r>
    </w:p>
    <w:p>
      <w:pPr>
        <w:spacing w:after="0" w:line="213" w:lineRule="exact"/>
        <w:rPr>
          <w:sz w:val="20"/>
          <w:szCs w:val="20"/>
          <w:color w:val="auto"/>
        </w:rPr>
      </w:pPr>
    </w:p>
    <w:p>
      <w:pPr>
        <w:ind w:right="240"/>
        <w:spacing w:after="0"/>
        <w:rPr>
          <w:sz w:val="20"/>
          <w:szCs w:val="20"/>
          <w:color w:val="auto"/>
        </w:rPr>
      </w:pPr>
      <w:r>
        <w:rPr>
          <w:rFonts w:ascii="Arial" w:cs="Arial" w:eastAsia="Arial" w:hAnsi="Arial"/>
          <w:sz w:val="22"/>
          <w:szCs w:val="22"/>
          <w:color w:val="auto"/>
        </w:rPr>
        <w:t>These items are excluded from our Adjusted Net Income (Loss) and Adjusted EBITDA measures because they are noncash in nature, or because the amount and timing of these items is unpredictable, is not driven by core results of operations and renders comparisons with prior periods and competitors less meaningful.</w:t>
      </w:r>
    </w:p>
    <w:p>
      <w:pPr>
        <w:spacing w:after="0" w:line="213" w:lineRule="exact"/>
        <w:rPr>
          <w:sz w:val="20"/>
          <w:szCs w:val="20"/>
          <w:color w:val="auto"/>
        </w:rPr>
      </w:pPr>
    </w:p>
    <w:p>
      <w:pPr>
        <w:spacing w:after="0" w:line="274" w:lineRule="auto"/>
        <w:rPr>
          <w:sz w:val="20"/>
          <w:szCs w:val="20"/>
          <w:color w:val="auto"/>
        </w:rPr>
      </w:pPr>
      <w:r>
        <w:rPr>
          <w:rFonts w:ascii="Arial" w:cs="Arial" w:eastAsia="Arial" w:hAnsi="Arial"/>
          <w:sz w:val="19"/>
          <w:szCs w:val="19"/>
          <w:color w:val="auto"/>
        </w:rPr>
        <w:t>We believe Adjusted Net Income (Loss) and Adjusted EBITDA provide useful information to investors and others in understanding and evaluating our results of operations, as well as providing a useful measure for period-to-period comparisons of our business performance. Moreover, we have included Adjusted Net Income (Loss) and Adjusted EBITDA because these are key measurements used by our management internally to make operating decisions, including those related to operating expenses, evaluate performance, and perform strategic planning and annual budgeting. However, this non-GAAP financial information is presented for supplemental informational purposes only, should not be considered a substitute for or superior to financial information presented in accordance with GAAP and may be different from similarly titled non-GAAP financial measures used by other companies. The tables below provide reconciliations of Adjusted EBITDA to Net Loss Attributable to Pagaya Technologies Ltd., its most directly comparable GAAP amount.</w:t>
      </w:r>
    </w:p>
    <w:p>
      <w:pPr>
        <w:spacing w:after="0" w:line="185"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In addition, outlook for the fiscal year, where adjusted, is provided on a non-GAAP basis, which Pagaya will continue to identify as it reports its future financial results. The Company cannot reconcile its expected Adjusted EBITDA to expected Net Loss Attributable to Pagaya under “Full-Year 2022 Outlook” without unreasonable effort because certain items that impact net income (loss) and other reconciling items are out of the Company's control and/or cannot be reasonably predicted at this time, which unavailable information could have a significant impact on the Company’s GAAP financial results.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 &amp; Analysts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434343"/>
        </w:rPr>
        <w:t>Jency John</w:t>
      </w:r>
    </w:p>
    <w:p>
      <w:pPr>
        <w:spacing w:after="0" w:line="230" w:lineRule="auto"/>
        <w:rPr>
          <w:sz w:val="20"/>
          <w:szCs w:val="20"/>
          <w:color w:val="auto"/>
        </w:rPr>
      </w:pPr>
      <w:r>
        <w:rPr>
          <w:rFonts w:ascii="Arial" w:cs="Arial" w:eastAsia="Arial" w:hAnsi="Arial"/>
          <w:sz w:val="22"/>
          <w:szCs w:val="22"/>
          <w:color w:val="434343"/>
        </w:rPr>
        <w:t>Head of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IR@pagaya.com</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&amp; Press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434343"/>
        </w:rPr>
        <w:t>Emily Passer</w:t>
      </w:r>
    </w:p>
    <w:p>
      <w:pPr>
        <w:spacing w:after="0" w:line="230" w:lineRule="auto"/>
        <w:rPr>
          <w:sz w:val="20"/>
          <w:szCs w:val="20"/>
          <w:color w:val="auto"/>
        </w:rPr>
      </w:pPr>
      <w:r>
        <w:rPr>
          <w:rFonts w:ascii="Arial" w:cs="Arial" w:eastAsia="Arial" w:hAnsi="Arial"/>
          <w:sz w:val="22"/>
          <w:szCs w:val="22"/>
          <w:color w:val="434343"/>
        </w:rPr>
        <w:t>VP, Head of PR &amp; External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Press@pagaya.com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0"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1868805"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868805" cy="497205"/>
                    </a:xfrm>
                    <a:prstGeom prst="rect">
                      <a:avLst/>
                    </a:prstGeom>
                    <a:noFill/>
                  </pic:spPr>
                </pic:pic>
              </a:graphicData>
            </a:graphic>
          </wp:anchor>
        </w:drawing>
        <w:t>PAGAYA TECHNOLOGIES LTD.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 CONSOLIDATED STATEMENTS OF OPERATIONS</w:t>
      </w:r>
    </w:p>
    <w:p>
      <w:pPr>
        <w:ind w:right="3820"/>
        <w:spacing w:after="0" w:line="232" w:lineRule="auto"/>
        <w:rPr>
          <w:sz w:val="20"/>
          <w:szCs w:val="20"/>
          <w:color w:val="auto"/>
        </w:rPr>
      </w:pPr>
      <w:r>
        <w:rPr>
          <w:rFonts w:ascii="Arial" w:cs="Arial" w:eastAsia="Arial" w:hAnsi="Arial"/>
          <w:sz w:val="22"/>
          <w:szCs w:val="22"/>
          <w:b w:val="1"/>
          <w:bCs w:val="1"/>
          <w:color w:val="auto"/>
        </w:rPr>
        <w:t>FOR THREE AND NINE MONTHS ENDED SEPTEMBER 30, 2022 AND 2021 (In thousands, except share and per share data)</w:t>
      </w:r>
    </w:p>
    <w:tbl>
      <w:tblPr>
        <w:tblLayout w:type="fixed"/>
        <w:tblInd w:w="0" w:type="dxa"/>
        <w:tblCellMar>
          <w:top w:w="0" w:type="dxa"/>
          <w:left w:w="0" w:type="dxa"/>
          <w:bottom w:w="0" w:type="dxa"/>
          <w:right w:w="0" w:type="dxa"/>
        </w:tblCellMar>
      </w:tblPr>
      <w:tr>
        <w:trPr>
          <w:trHeight w:val="198"/>
        </w:trPr>
        <w:tc>
          <w:tcPr>
            <w:tcW w:w="5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60" w:type="dxa"/>
            <w:vAlign w:val="bottom"/>
            <w:gridSpan w:val="5"/>
          </w:tcPr>
          <w:p>
            <w:pPr>
              <w:jc w:val="right"/>
              <w:ind w:right="660"/>
              <w:spacing w:after="0" w:line="198" w:lineRule="exact"/>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7"/>
                <w:szCs w:val="17"/>
                <w:color w:val="auto"/>
              </w:rPr>
            </w:pPr>
          </w:p>
        </w:tc>
        <w:tc>
          <w:tcPr>
            <w:tcW w:w="2380" w:type="dxa"/>
            <w:vAlign w:val="bottom"/>
            <w:gridSpan w:val="5"/>
          </w:tcPr>
          <w:p>
            <w:pPr>
              <w:jc w:val="right"/>
              <w:ind w:right="560"/>
              <w:spacing w:after="0" w:line="198" w:lineRule="exact"/>
              <w:rPr>
                <w:sz w:val="20"/>
                <w:szCs w:val="20"/>
                <w:color w:val="auto"/>
              </w:rPr>
            </w:pPr>
            <w:r>
              <w:rPr>
                <w:rFonts w:ascii="Arial" w:cs="Arial" w:eastAsia="Arial" w:hAnsi="Arial"/>
                <w:sz w:val="18"/>
                <w:szCs w:val="18"/>
                <w:b w:val="1"/>
                <w:bCs w:val="1"/>
                <w:color w:val="auto"/>
              </w:rPr>
              <w:t>Nine Months Ended</w:t>
            </w:r>
          </w:p>
        </w:tc>
      </w:t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238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9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Revenue from fees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185,614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128,149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507,241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301,604</w:t>
            </w: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13,666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8,455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43,127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18,256</w:t>
            </w:r>
          </w:p>
        </w:tc>
      </w:tr>
      <w:tr>
        <w:trPr>
          <w:trHeight w:val="223"/>
        </w:trPr>
        <w:tc>
          <w:tcPr>
            <w:tcW w:w="5980" w:type="dxa"/>
            <w:vAlign w:val="bottom"/>
          </w:tcPr>
          <w:p>
            <w:pPr>
              <w:ind w:left="500"/>
              <w:spacing w:after="0"/>
              <w:rPr>
                <w:sz w:val="20"/>
                <w:szCs w:val="20"/>
                <w:color w:val="auto"/>
              </w:rPr>
            </w:pPr>
            <w:r>
              <w:rPr>
                <w:rFonts w:ascii="Arial" w:cs="Arial" w:eastAsia="Arial" w:hAnsi="Arial"/>
                <w:sz w:val="18"/>
                <w:szCs w:val="18"/>
                <w:color w:val="auto"/>
              </w:rPr>
              <w:t>Investment income (loss)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4,675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5,670</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 and Other Income</w:t>
            </w: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203,955</w:t>
            </w:r>
          </w:p>
        </w:tc>
        <w:tc>
          <w:tcPr>
            <w:tcW w:w="24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136,590</w:t>
            </w:r>
          </w:p>
        </w:tc>
        <w:tc>
          <w:tcPr>
            <w:tcW w:w="22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556,038</w:t>
            </w:r>
          </w:p>
        </w:tc>
        <w:tc>
          <w:tcPr>
            <w:tcW w:w="22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319,858</w:t>
            </w:r>
          </w:p>
        </w:tc>
        <w:tc>
          <w:tcPr>
            <w:tcW w:w="100" w:type="dxa"/>
            <w:vAlign w:val="bottom"/>
            <w:shd w:val="clear" w:color="auto" w:fill="CCEEFF"/>
          </w:tcPr>
          <w:p>
            <w:pPr>
              <w:spacing w:after="0"/>
              <w:rPr>
                <w:sz w:val="19"/>
                <w:szCs w:val="19"/>
                <w:color w:val="auto"/>
              </w:rPr>
            </w:pPr>
          </w:p>
        </w:tc>
      </w:tr>
      <w:tr>
        <w:trPr>
          <w:trHeight w:val="216"/>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Costs and Operating Expenses</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Production costs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129,115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81,731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326,375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181,505</w:t>
            </w:r>
          </w:p>
        </w:tc>
      </w:tr>
      <w:tr>
        <w:trPr>
          <w:trHeight w:val="216"/>
        </w:trPr>
        <w:tc>
          <w:tcPr>
            <w:tcW w:w="5980" w:type="dxa"/>
            <w:vAlign w:val="bottom"/>
          </w:tcPr>
          <w:p>
            <w:pPr>
              <w:ind w:left="500"/>
              <w:spacing w:after="0"/>
              <w:rPr>
                <w:sz w:val="20"/>
                <w:szCs w:val="20"/>
                <w:color w:val="auto"/>
              </w:rPr>
            </w:pPr>
            <w:r>
              <w:rPr>
                <w:rFonts w:ascii="Arial" w:cs="Arial" w:eastAsia="Arial" w:hAnsi="Arial"/>
                <w:sz w:val="18"/>
                <w:szCs w:val="18"/>
                <w:color w:val="auto"/>
              </w:rPr>
              <w:t>Research and development(1)</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38,643</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11,932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127,379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51,344</w:t>
            </w:r>
          </w:p>
        </w:tc>
      </w:tr>
      <w:tr>
        <w:trPr>
          <w:trHeight w:val="216"/>
        </w:trPr>
        <w:tc>
          <w:tcPr>
            <w:tcW w:w="5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Sales and marketing(1)</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26,579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90,229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37,564</w:t>
            </w:r>
          </w:p>
        </w:tc>
      </w:tr>
      <w:tr>
        <w:trPr>
          <w:trHeight w:val="223"/>
        </w:trPr>
        <w:tc>
          <w:tcPr>
            <w:tcW w:w="5980" w:type="dxa"/>
            <w:vAlign w:val="bottom"/>
          </w:tcPr>
          <w:p>
            <w:pPr>
              <w:ind w:left="500"/>
              <w:spacing w:after="0"/>
              <w:rPr>
                <w:sz w:val="20"/>
                <w:szCs w:val="20"/>
                <w:color w:val="auto"/>
              </w:rPr>
            </w:pPr>
            <w:r>
              <w:rPr>
                <w:rFonts w:ascii="Arial" w:cs="Arial" w:eastAsia="Arial" w:hAnsi="Arial"/>
                <w:sz w:val="18"/>
                <w:szCs w:val="18"/>
                <w:color w:val="auto"/>
              </w:rPr>
              <w:t>General and administrative(1)</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73,790</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18,961</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236,863</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53,068</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Costs and Operating Expenses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268,127</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121,785</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780,846</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323,481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(64,172)</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14,805</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(224,808)</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(3,623)</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(loss), net(2)</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(32,768)</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9,846</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(51,539)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(60,939)</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(17,963)</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(214,962)</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(55,162)</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expense(2)</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25,604</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(67,004)</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(21,587)</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(240,566)</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(66,579)</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7,785</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6,570</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27,757</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Net Loss Attributable to Pagaya Technologies Ltd.</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(74,789)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(28,157)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(268,323)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(80,695)</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loss attributable to Pagaya Technologies Ltd.</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(74,789)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(28,157)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(268,323)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(80,695)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Less: Undistributed earnings allocated to participated securities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(12,205)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(13,494)</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Less: Deemed dividend distribution</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(23,612)</w:t>
            </w:r>
          </w:p>
        </w:tc>
      </w:tr>
      <w:tr>
        <w:trPr>
          <w:trHeight w:val="25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attributed to Pagaya Technologies Ltd.</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(74,789)</w:t>
            </w:r>
          </w:p>
        </w:tc>
        <w:tc>
          <w:tcPr>
            <w:tcW w:w="24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(31,310)</w:t>
            </w:r>
          </w:p>
        </w:tc>
        <w:tc>
          <w:tcPr>
            <w:tcW w:w="22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(280,528)</w:t>
            </w:r>
          </w:p>
        </w:tc>
        <w:tc>
          <w:tcPr>
            <w:tcW w:w="22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(117,801)</w:t>
            </w:r>
          </w:p>
        </w:tc>
        <w:tc>
          <w:tcPr>
            <w:tcW w:w="100" w:type="dxa"/>
            <w:vAlign w:val="bottom"/>
            <w:shd w:val="clear" w:color="auto" w:fill="CCEEFF"/>
          </w:tcPr>
          <w:p>
            <w:pPr>
              <w:spacing w:after="0"/>
              <w:rPr>
                <w:sz w:val="22"/>
                <w:szCs w:val="22"/>
                <w:color w:val="auto"/>
              </w:rPr>
            </w:pPr>
          </w:p>
        </w:tc>
      </w:tr>
      <w:tr>
        <w:trPr>
          <w:trHeight w:val="210"/>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Net loss per share attributable to Pagaya Technologies Ltd.:</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Basic and Diluted(3)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b w:val="1"/>
                <w:bCs w:val="1"/>
                <w:color w:val="auto"/>
              </w:rPr>
              <w:t>Non-GAAP adjusted net income (loss)(4)</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(14,440)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11,283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(28,981)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36,879</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adjusted net income per share:</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Arial" w:cs="Arial" w:eastAsia="Arial" w:hAnsi="Arial"/>
                <w:sz w:val="18"/>
                <w:szCs w:val="18"/>
                <w:color w:val="auto"/>
              </w:rPr>
              <w:t>Basic(3)</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0.06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(0.08)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Diluted(3)</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Basic(3)</w:t>
            </w:r>
          </w:p>
        </w:tc>
        <w:tc>
          <w:tcPr>
            <w:tcW w:w="16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679,431,901</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196,023,981</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381,831,895</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194,490,947</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24"/>
        </w:trPr>
        <w:tc>
          <w:tcPr>
            <w:tcW w:w="5980" w:type="dxa"/>
            <w:vAlign w:val="bottom"/>
          </w:tcPr>
          <w:p>
            <w:pPr>
              <w:ind w:left="500"/>
              <w:spacing w:after="0"/>
              <w:rPr>
                <w:sz w:val="20"/>
                <w:szCs w:val="20"/>
                <w:color w:val="auto"/>
              </w:rPr>
            </w:pPr>
            <w:r>
              <w:rPr>
                <w:rFonts w:ascii="Arial" w:cs="Arial" w:eastAsia="Arial" w:hAnsi="Arial"/>
                <w:sz w:val="18"/>
                <w:szCs w:val="18"/>
                <w:color w:val="auto"/>
              </w:rPr>
              <w:t>Diluted(3)</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964,179,889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439,122,774</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666,968,467</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345,551,431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-8255</wp:posOffset>
            </wp:positionV>
            <wp:extent cx="32746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(1) The following table sets forth share-based compensation for the periods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-154940</wp:posOffset>
            </wp:positionV>
            <wp:extent cx="327469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16"/>
        </w:trPr>
        <w:tc>
          <w:tcPr>
            <w:tcW w:w="59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76,451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26,242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15,645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631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54,534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17,410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92,022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19,322</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500"/>
              <w:spacing w:after="0"/>
              <w:rPr>
                <w:sz w:val="20"/>
                <w:szCs w:val="20"/>
                <w:color w:val="auto"/>
              </w:rPr>
            </w:pPr>
            <w:r>
              <w:rPr>
                <w:rFonts w:ascii="Arial" w:cs="Arial" w:eastAsia="Arial" w:hAnsi="Arial"/>
                <w:sz w:val="18"/>
                <w:szCs w:val="18"/>
                <w:color w:val="auto"/>
              </w:rPr>
              <w:t>Total share-based compensation in operating expenses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60,302</w:t>
            </w:r>
          </w:p>
        </w:tc>
        <w:tc>
          <w:tcPr>
            <w:tcW w:w="2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3,857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223,007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62,974</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ind w:left="220" w:right="260" w:hanging="215"/>
        <w:spacing w:after="0" w:line="265" w:lineRule="auto"/>
        <w:rPr>
          <w:sz w:val="20"/>
          <w:szCs w:val="20"/>
          <w:color w:val="auto"/>
        </w:rPr>
      </w:pPr>
      <w:r>
        <w:rPr>
          <w:rFonts w:ascii="Arial" w:cs="Arial" w:eastAsia="Arial" w:hAnsi="Arial"/>
          <w:sz w:val="17"/>
          <w:szCs w:val="17"/>
          <w:color w:val="auto"/>
        </w:rPr>
        <w:t>(2)Amounts for the nine months ended September 30, 2022 include certain adjustments for the second quarter of 2022 relating to deferred tax assets and warrant liability, which were not originally recorded as of and for the three and six months ended June 30, 2022.</w:t>
      </w:r>
    </w:p>
    <w:p>
      <w:pPr>
        <w:spacing w:after="0"/>
        <w:rPr>
          <w:sz w:val="20"/>
          <w:szCs w:val="20"/>
          <w:color w:val="auto"/>
        </w:rPr>
      </w:pPr>
      <w:r>
        <w:rPr>
          <w:rFonts w:ascii="Arial" w:cs="Arial" w:eastAsia="Arial" w:hAnsi="Arial"/>
          <w:sz w:val="18"/>
          <w:szCs w:val="18"/>
          <w:color w:val="auto"/>
        </w:rPr>
        <w:t>(3)Prior period amounts have been retroactively adjusted to reflect the 1:186.9 stock split effected on June 22,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(4)See “Reconciliation of Non-GAAP Financial Measures” for a reconciliation of this and adjusted EBITDA, another non-GAAP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1868805" cy="497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868805" cy="497205"/>
                    </a:xfrm>
                    <a:prstGeom prst="rect">
                      <a:avLst/>
                    </a:prstGeom>
                    <a:noFill/>
                  </pic:spPr>
                </pic:pic>
              </a:graphicData>
            </a:graphic>
          </wp:anchor>
        </w:drawing>
        <w:t>PAGAYA TECHNOLOGIES LTD.</w:t>
      </w:r>
    </w:p>
    <w:p>
      <w:pPr>
        <w:spacing w:after="0" w:line="14" w:lineRule="exact"/>
        <w:rPr>
          <w:sz w:val="20"/>
          <w:szCs w:val="20"/>
          <w:color w:val="auto"/>
        </w:rPr>
      </w:pPr>
    </w:p>
    <w:p>
      <w:pPr>
        <w:ind w:right="5260"/>
        <w:spacing w:after="0" w:line="232" w:lineRule="auto"/>
        <w:rPr>
          <w:sz w:val="20"/>
          <w:szCs w:val="20"/>
          <w:color w:val="auto"/>
        </w:rPr>
      </w:pPr>
      <w:r>
        <w:rPr>
          <w:rFonts w:ascii="Arial" w:cs="Arial" w:eastAsia="Arial" w:hAnsi="Arial"/>
          <w:sz w:val="22"/>
          <w:szCs w:val="22"/>
          <w:b w:val="1"/>
          <w:bCs w:val="1"/>
          <w:color w:val="auto"/>
        </w:rPr>
        <w:t>CONSOLIDATED STATEMENTS OF FINANCIAL POSITION AS OF SEPTEMBER 30, 2022 AND DECEMBER 31, 2021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68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8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9"/>
                <w:szCs w:val="19"/>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7"/>
                <w:szCs w:val="17"/>
                <w:color w:val="auto"/>
              </w:rPr>
            </w:pPr>
          </w:p>
        </w:tc>
        <w:tc>
          <w:tcPr>
            <w:tcW w:w="1040" w:type="dxa"/>
            <w:vAlign w:val="bottom"/>
          </w:tcPr>
          <w:p>
            <w:pPr>
              <w:jc w:val="right"/>
              <w:ind w:right="30"/>
              <w:spacing w:after="0" w:line="201" w:lineRule="exact"/>
              <w:rPr>
                <w:sz w:val="20"/>
                <w:szCs w:val="20"/>
                <w:color w:val="auto"/>
              </w:rPr>
            </w:pPr>
            <w:r>
              <w:rPr>
                <w:rFonts w:ascii="Arial" w:cs="Arial" w:eastAsia="Arial" w:hAnsi="Arial"/>
                <w:sz w:val="18"/>
                <w:szCs w:val="18"/>
                <w:b w:val="1"/>
                <w:bCs w:val="1"/>
                <w:color w:val="auto"/>
                <w:w w:val="89"/>
              </w:rPr>
              <w:t>(Unaudited)</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70"/>
              <w:spacing w:after="0" w:line="201" w:lineRule="exact"/>
              <w:rPr>
                <w:sz w:val="20"/>
                <w:szCs w:val="20"/>
                <w:color w:val="auto"/>
              </w:rPr>
            </w:pPr>
            <w:r>
              <w:rPr>
                <w:rFonts w:ascii="Arial" w:cs="Arial" w:eastAsia="Arial" w:hAnsi="Arial"/>
                <w:sz w:val="18"/>
                <w:szCs w:val="18"/>
                <w:b w:val="1"/>
                <w:bCs w:val="1"/>
                <w:color w:val="auto"/>
                <w:w w:val="93"/>
              </w:rPr>
              <w:t>(Audited)</w:t>
            </w:r>
          </w:p>
        </w:tc>
        <w:tc>
          <w:tcPr>
            <w:tcW w:w="100" w:type="dxa"/>
            <w:vAlign w:val="bottom"/>
          </w:tcPr>
          <w:p>
            <w:pPr>
              <w:spacing w:after="0"/>
              <w:rPr>
                <w:sz w:val="17"/>
                <w:szCs w:val="17"/>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327,896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190,778</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34,161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7,000</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deposits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5,020</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Fees and other receivables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52,122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32,332</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Investments in loans and securities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5,142</w:t>
            </w: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22,512</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6,263</w:t>
            </w: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439,137</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246,535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6,797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Fees and other receivables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31,250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19,208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Investments in loans and securities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442,840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277,582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Equity method and other investments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25,807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Right-of-use asset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66,366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28,202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5,681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11,966</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non-current assets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610,434</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343,723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1,049,571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590,258</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11,580</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40,343</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17,093</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liability - current</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Secured borrowing - current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26,251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 - 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10,924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88,984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28,673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Warrant liability</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27,469</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Secured borrowing - non-current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87,503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37,905</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Operating lease liability - non-current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53,501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 - non-current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22,773</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11,812</w:t>
            </w:r>
          </w:p>
        </w:tc>
      </w:tr>
      <w:tr>
        <w:trPr>
          <w:trHeight w:val="223"/>
        </w:trPr>
        <w:tc>
          <w:tcPr>
            <w:tcW w:w="8680" w:type="dxa"/>
            <w:vAlign w:val="bottom"/>
            <w:tcBorders>
              <w:top w:val="single" w:sz="8" w:color="CCEEFF"/>
            </w:tcBorders>
          </w:tcPr>
          <w:p>
            <w:pPr>
              <w:ind w:left="500"/>
              <w:spacing w:after="0"/>
              <w:rPr>
                <w:sz w:val="20"/>
                <w:szCs w:val="20"/>
                <w:color w:val="auto"/>
              </w:rPr>
            </w:pPr>
            <w:r>
              <w:rPr>
                <w:rFonts w:ascii="Arial" w:cs="Arial" w:eastAsia="Arial" w:hAnsi="Arial"/>
                <w:sz w:val="18"/>
                <w:szCs w:val="18"/>
                <w:b w:val="1"/>
                <w:bCs w:val="1"/>
                <w:color w:val="auto"/>
              </w:rPr>
              <w:t>Total non-current liabilities</w:t>
            </w: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166,857</w:t>
            </w:r>
          </w:p>
        </w:tc>
        <w:tc>
          <w:tcPr>
            <w:tcW w:w="2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77,186</w:t>
            </w:r>
          </w:p>
        </w:tc>
        <w:tc>
          <w:tcPr>
            <w:tcW w:w="100" w:type="dxa"/>
            <w:vAlign w:val="bottom"/>
            <w:tcBorders>
              <w:top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255,841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105,859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Redeemable convertible preferred shares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307,047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947,381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113,170</w:t>
            </w:r>
          </w:p>
        </w:tc>
      </w:tr>
      <w:tr>
        <w:trPr>
          <w:trHeight w:val="223"/>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(380,201)</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(111,878)</w:t>
            </w:r>
          </w:p>
        </w:tc>
      </w:tr>
      <w:tr>
        <w:trPr>
          <w:trHeight w:val="216"/>
        </w:trPr>
        <w:tc>
          <w:tcPr>
            <w:tcW w:w="8680" w:type="dxa"/>
            <w:vAlign w:val="bottom"/>
            <w:tcBorders>
              <w:top w:val="single" w:sz="8" w:color="CCEEFF"/>
            </w:tcBorders>
          </w:tcPr>
          <w:p>
            <w:pPr>
              <w:ind w:left="500"/>
              <w:spacing w:after="0"/>
              <w:rPr>
                <w:sz w:val="20"/>
                <w:szCs w:val="20"/>
                <w:color w:val="auto"/>
              </w:rPr>
            </w:pPr>
            <w:r>
              <w:rPr>
                <w:rFonts w:ascii="Arial" w:cs="Arial" w:eastAsia="Arial" w:hAnsi="Arial"/>
                <w:sz w:val="18"/>
                <w:szCs w:val="18"/>
                <w:color w:val="auto"/>
              </w:rPr>
              <w:t>Total Pagaya Technologies Ltd. Shareholders’ Equity</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567,180</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226,550</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176,060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500"/>
              <w:spacing w:after="0"/>
              <w:rPr>
                <w:sz w:val="20"/>
                <w:szCs w:val="20"/>
                <w:color w:val="auto"/>
              </w:rPr>
            </w:pPr>
            <w:r>
              <w:rPr>
                <w:rFonts w:ascii="Arial" w:cs="Arial" w:eastAsia="Arial" w:hAnsi="Arial"/>
                <w:sz w:val="18"/>
                <w:szCs w:val="18"/>
                <w:color w:val="auto"/>
              </w:rPr>
              <w:t>Total shareholders’ Equity</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793,730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177,352</w:t>
            </w:r>
          </w:p>
        </w:tc>
      </w:tr>
      <w:tr>
        <w:trPr>
          <w:trHeight w:val="25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1,049,571</w:t>
            </w:r>
          </w:p>
        </w:tc>
        <w:tc>
          <w:tcPr>
            <w:tcW w:w="200" w:type="dxa"/>
            <w:vAlign w:val="bottom"/>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590,258</w:t>
            </w:r>
          </w:p>
        </w:tc>
        <w:tc>
          <w:tcPr>
            <w:tcW w:w="100" w:type="dxa"/>
            <w:vAlign w:val="bottom"/>
            <w:shd w:val="clear" w:color="auto" w:fill="CCEEFF"/>
          </w:tcPr>
          <w:p>
            <w:pPr>
              <w:spacing w:after="0"/>
              <w:rPr>
                <w:sz w:val="22"/>
                <w:szCs w:val="22"/>
                <w:color w:val="auto"/>
              </w:rPr>
            </w:pPr>
          </w:p>
        </w:tc>
      </w:tr>
      <w:tr>
        <w:trPr>
          <w:trHeight w:val="433"/>
        </w:trPr>
        <w:tc>
          <w:tcPr>
            <w:tcW w:w="86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314"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1868805" cy="4972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868805" cy="497205"/>
                    </a:xfrm>
                    <a:prstGeom prst="rect">
                      <a:avLst/>
                    </a:prstGeom>
                    <a:noFill/>
                  </pic:spPr>
                </pic:pic>
              </a:graphicData>
            </a:graphic>
          </wp:anchor>
        </w:drawing>
        <w:t>PAGAYA TECHNOLOGIES LTD.</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 CONSOLIDATED STATEMENTS OF CASH FLOWS</w:t>
      </w:r>
    </w:p>
    <w:tbl>
      <w:tblPr>
        <w:tblLayout w:type="fixed"/>
        <w:tblInd w:w="0" w:type="dxa"/>
        <w:tblCellMar>
          <w:top w:w="0" w:type="dxa"/>
          <w:left w:w="0" w:type="dxa"/>
          <w:bottom w:w="0" w:type="dxa"/>
          <w:right w:w="0" w:type="dxa"/>
        </w:tblCellMar>
      </w:tblPr>
      <w:tr>
        <w:trPr>
          <w:trHeight w:val="196"/>
        </w:trPr>
        <w:tc>
          <w:tcPr>
            <w:tcW w:w="8680" w:type="dxa"/>
            <w:vAlign w:val="bottom"/>
          </w:tcPr>
          <w:p>
            <w:pPr>
              <w:spacing w:after="0" w:line="196" w:lineRule="exact"/>
              <w:rPr>
                <w:sz w:val="20"/>
                <w:szCs w:val="20"/>
                <w:color w:val="auto"/>
              </w:rPr>
            </w:pPr>
            <w:r>
              <w:rPr>
                <w:rFonts w:ascii="Arial" w:cs="Arial" w:eastAsia="Arial" w:hAnsi="Arial"/>
                <w:sz w:val="18"/>
                <w:szCs w:val="18"/>
                <w:b w:val="1"/>
                <w:bCs w:val="1"/>
                <w:color w:val="auto"/>
              </w:rPr>
              <w:t>FOR NINE MONTHS ENDED SEPTEMBER 30, 2022 AND 2021 (In thousands)​</w:t>
            </w:r>
          </w:p>
        </w:tc>
        <w:tc>
          <w:tcPr>
            <w:tcW w:w="2560" w:type="dxa"/>
            <w:vAlign w:val="bottom"/>
            <w:gridSpan w:val="6"/>
          </w:tcPr>
          <w:p>
            <w:pPr>
              <w:ind w:left="20"/>
              <w:spacing w:after="0" w:line="196" w:lineRule="exact"/>
              <w:rPr>
                <w:sz w:val="20"/>
                <w:szCs w:val="20"/>
                <w:color w:val="auto"/>
              </w:rPr>
            </w:pPr>
            <w:r>
              <w:rPr>
                <w:rFonts w:ascii="Arial" w:cs="Arial" w:eastAsia="Arial" w:hAnsi="Arial"/>
                <w:sz w:val="18"/>
                <w:szCs w:val="18"/>
                <w:b w:val="1"/>
                <w:bCs w:val="1"/>
                <w:color w:val="auto"/>
                <w:w w:val="94"/>
              </w:rPr>
              <w:t>Nine Months Ended September</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(240,566)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(66,579)</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method income (loss)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4,077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489</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62,974</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Fair value adjustment to warrant liability</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(9,408)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51,477</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ordinary shares related to commitment shares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Loss from investment in loans and securities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10,706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660"/>
              <w:spacing w:after="0"/>
              <w:rPr>
                <w:sz w:val="20"/>
                <w:szCs w:val="20"/>
                <w:color w:val="auto"/>
              </w:rPr>
            </w:pPr>
            <w:r>
              <w:rPr>
                <w:rFonts w:ascii="Arial" w:cs="Arial" w:eastAsia="Arial" w:hAnsi="Arial"/>
                <w:sz w:val="18"/>
                <w:szCs w:val="18"/>
                <w:color w:val="auto"/>
              </w:rPr>
              <w:t>Fees and other receivables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(31,832)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(16,929)</w:t>
            </w:r>
          </w:p>
        </w:tc>
      </w:tr>
      <w:tr>
        <w:trPr>
          <w:trHeight w:val="216"/>
        </w:trPr>
        <w:tc>
          <w:tcPr>
            <w:tcW w:w="8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tax assets,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(2,979)</w:t>
            </w:r>
          </w:p>
        </w:tc>
      </w:tr>
      <w:tr>
        <w:trPr>
          <w:trHeight w:val="216"/>
        </w:trPr>
        <w:tc>
          <w:tcPr>
            <w:tcW w:w="8680" w:type="dxa"/>
            <w:vAlign w:val="bottom"/>
          </w:tcPr>
          <w:p>
            <w:pPr>
              <w:ind w:left="66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(18,530)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(17,221)</w:t>
            </w:r>
          </w:p>
        </w:tc>
      </w:tr>
      <w:tr>
        <w:trPr>
          <w:trHeight w:val="216"/>
        </w:trPr>
        <w:tc>
          <w:tcPr>
            <w:tcW w:w="8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Right-of-use asset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66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(9,097)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4,242</w:t>
            </w:r>
          </w:p>
        </w:tc>
      </w:tr>
      <w:tr>
        <w:trPr>
          <w:trHeight w:val="216"/>
        </w:trPr>
        <w:tc>
          <w:tcPr>
            <w:tcW w:w="8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8,265</w:t>
            </w:r>
          </w:p>
        </w:tc>
      </w:tr>
      <w:tr>
        <w:trPr>
          <w:trHeight w:val="216"/>
        </w:trPr>
        <w:tc>
          <w:tcPr>
            <w:tcW w:w="8680" w:type="dxa"/>
            <w:vAlign w:val="bottom"/>
          </w:tcPr>
          <w:p>
            <w:pPr>
              <w:ind w:left="660"/>
              <w:spacing w:after="0"/>
              <w:rPr>
                <w:sz w:val="20"/>
                <w:szCs w:val="20"/>
                <w:color w:val="auto"/>
              </w:rPr>
            </w:pPr>
            <w:r>
              <w:rPr>
                <w:rFonts w:ascii="Arial" w:cs="Arial" w:eastAsia="Arial" w:hAnsi="Arial"/>
                <w:sz w:val="18"/>
                <w:szCs w:val="18"/>
                <w:color w:val="auto"/>
              </w:rPr>
              <w:t>Operating lease liability</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(6,204)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tax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14,059</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(37,880)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37,800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from the sale/maturity/prepayment of:</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 in loans and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88,538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27,935</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Short-term deposits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method and other investments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Payments for the purchase of:</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 in loans and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(261,806)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(142,146)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(18,266)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(1,517)</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method and other investments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(22,991)</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Short-term deposits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(51,446)</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(191,810)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Proceeds from sale of ordinary shares in connection with the Business Combination and PIPE Investment, net of</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costs</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291,872</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issuance of redeemable convertible preferred shares,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172,645</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ordinary share warrants,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20,807</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secured borrowing</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94,094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received from noncontrolling interests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92,988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129,970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revolving credit facility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Distribution made to noncontrolling interests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(70,255)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(54,457)</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made to revolving credit facility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Distribution made to secured borrowing</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(18,245)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for deferred offering costs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(4,278)</w:t>
            </w:r>
          </w:p>
        </w:tc>
      </w:tr>
      <w:tr>
        <w:trPr>
          <w:trHeight w:val="223"/>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391,934</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264,858</w:t>
            </w:r>
          </w:p>
        </w:tc>
        <w:tc>
          <w:tcPr>
            <w:tcW w:w="100" w:type="dxa"/>
            <w:vAlign w:val="bottom"/>
            <w:tcBorders>
              <w:top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113,418</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204,575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5,880</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366,819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119,298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1"/>
        </w:trPr>
        <w:tc>
          <w:tcPr>
            <w:tcW w:w="8680" w:type="dxa"/>
            <w:vAlign w:val="bottom"/>
          </w:tcPr>
          <w:p>
            <w:pPr>
              <w:spacing w:after="0" w:line="191" w:lineRule="exact"/>
              <w:rPr>
                <w:sz w:val="20"/>
                <w:szCs w:val="20"/>
                <w:color w:val="auto"/>
              </w:rPr>
            </w:pPr>
            <w:r>
              <w:rPr>
                <w:rFonts w:ascii="Arial" w:cs="Arial" w:eastAsia="Arial" w:hAnsi="Arial"/>
                <w:sz w:val="18"/>
                <w:szCs w:val="18"/>
                <w:b w:val="1"/>
                <w:bCs w:val="1"/>
                <w:color w:val="auto"/>
                <w:w w:val="91"/>
              </w:rPr>
              <w:t>Reconciliation of cash, cash equivalents, and restricted cash within the condensed consolidated statements of</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financial position to the amounts shown in the statements of cash flow above: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327,896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101,236</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Restricted cash - current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34,161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12,000</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Restricted cash - non-current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Total cash, cash equivalents, and restricted cash</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366,819</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119,298</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8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314"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354965</wp:posOffset>
            </wp:positionV>
            <wp:extent cx="1868805" cy="4972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868805" cy="497205"/>
                    </a:xfrm>
                    <a:prstGeom prst="rect">
                      <a:avLst/>
                    </a:prstGeom>
                    <a:noFill/>
                  </pic:spPr>
                </pic:pic>
              </a:graphicData>
            </a:graphic>
          </wp:anchor>
        </w:drawing>
        <w:t>PAGAYA TECHNOLOGIES LTD.</w:t>
      </w:r>
    </w:p>
    <w:p>
      <w:pPr>
        <w:spacing w:after="0" w:line="14" w:lineRule="exact"/>
        <w:rPr>
          <w:sz w:val="20"/>
          <w:szCs w:val="20"/>
          <w:color w:val="auto"/>
        </w:rPr>
      </w:pPr>
    </w:p>
    <w:p>
      <w:pPr>
        <w:ind w:right="3680"/>
        <w:spacing w:after="0" w:line="234" w:lineRule="auto"/>
        <w:rPr>
          <w:sz w:val="20"/>
          <w:szCs w:val="20"/>
          <w:color w:val="auto"/>
        </w:rPr>
      </w:pPr>
      <w:r>
        <w:rPr>
          <w:rFonts w:ascii="Arial" w:cs="Arial" w:eastAsia="Arial" w:hAnsi="Arial"/>
          <w:sz w:val="22"/>
          <w:szCs w:val="22"/>
          <w:b w:val="1"/>
          <w:bCs w:val="1"/>
          <w:color w:val="auto"/>
        </w:rPr>
        <w:t>RECONCILIATION OF NON-GAAP FINANCIAL MEASURES (UNAUDITED) FOR THREE AND NINE MONTHS ENDED SEPTEMBER 30, 2022 AND 2021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Pagaya Technologies Ltd.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(74,789)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(80,695)</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Adjusted to exclude the following:</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60,302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3,857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223,007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62,974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Fair value adjustment to warrant liability</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(3,000)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32,460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(9,408)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51,477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Non-recurring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3,123</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Adjusted Net Income (Loss)</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(14,440)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11,283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(28,981)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36,879</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Adjusted to exclude the following:</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expenses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243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3,420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11,417</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2,929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4,077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489</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(5,203)</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48,785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94"/>
        </w:trPr>
        <w:tc>
          <w:tcPr>
            <w:tcW w:w="5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314" w:right="3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8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Arial" w:cs="Arial" w:eastAsia="Arial" w:hAnsi="Arial"/>
                <w:sz w:val="22"/>
                <w:szCs w:val="22"/>
                <w:b w:val="1"/>
                <w:bCs w:val="1"/>
                <w:color w:val="auto"/>
                <w:w w:val="89"/>
              </w:rPr>
              <w:t>Exhibit 99.2</w:t>
            </w:r>
          </w:p>
        </w:tc>
      </w:tr>
      <w:tr>
        <w:trPr>
          <w:trHeight w:val="449"/>
        </w:trPr>
        <w:tc>
          <w:tcPr>
            <w:tcW w:w="8680" w:type="dxa"/>
            <w:vAlign w:val="bottom"/>
          </w:tcPr>
          <w:p>
            <w:pPr>
              <w:spacing w:after="0"/>
              <w:rPr>
                <w:sz w:val="20"/>
                <w:szCs w:val="20"/>
                <w:color w:val="auto"/>
              </w:rPr>
            </w:pPr>
            <w:r>
              <w:rPr>
                <w:rFonts w:ascii="Arial" w:cs="Arial" w:eastAsia="Arial" w:hAnsi="Arial"/>
                <w:sz w:val="22"/>
                <w:szCs w:val="22"/>
                <w:b w:val="1"/>
                <w:bCs w:val="1"/>
                <w:color w:val="auto"/>
              </w:rPr>
              <w:t>PAGAYA TECHNOLOGIES LTD.</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8680" w:type="dxa"/>
            <w:vAlign w:val="bottom"/>
          </w:tcPr>
          <w:p>
            <w:pPr>
              <w:spacing w:after="0" w:line="243" w:lineRule="exact"/>
              <w:rPr>
                <w:sz w:val="20"/>
                <w:szCs w:val="20"/>
                <w:color w:val="auto"/>
              </w:rPr>
            </w:pPr>
            <w:r>
              <w:rPr>
                <w:rFonts w:ascii="Arial" w:cs="Arial" w:eastAsia="Arial" w:hAnsi="Arial"/>
                <w:sz w:val="22"/>
                <w:szCs w:val="22"/>
                <w:b w:val="1"/>
                <w:bCs w:val="1"/>
                <w:color w:val="auto"/>
              </w:rPr>
              <w:t>CONDENSED CONSOLIDATED STATEMENTS OF FINANCIAL POSITION</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680" w:type="dxa"/>
            <w:vAlign w:val="bottom"/>
          </w:tcPr>
          <w:p>
            <w:pPr>
              <w:spacing w:after="0" w:line="243" w:lineRule="exact"/>
              <w:rPr>
                <w:sz w:val="20"/>
                <w:szCs w:val="20"/>
                <w:color w:val="auto"/>
              </w:rPr>
            </w:pPr>
            <w:r>
              <w:rPr>
                <w:rFonts w:ascii="Arial" w:cs="Arial" w:eastAsia="Arial" w:hAnsi="Arial"/>
                <w:sz w:val="22"/>
                <w:szCs w:val="22"/>
                <w:b w:val="1"/>
                <w:bCs w:val="1"/>
                <w:color w:val="auto"/>
              </w:rPr>
              <w:t>AS OF SEPTEMBER 30, 2022 AND DECEMBER 31, 2021</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80"/>
        </w:trPr>
        <w:tc>
          <w:tcPr>
            <w:tcW w:w="8680" w:type="dxa"/>
            <w:vAlign w:val="bottom"/>
          </w:tcPr>
          <w:p>
            <w:pPr>
              <w:spacing w:after="0"/>
              <w:rPr>
                <w:sz w:val="20"/>
                <w:szCs w:val="20"/>
                <w:color w:val="auto"/>
              </w:rPr>
            </w:pPr>
            <w:r>
              <w:rPr>
                <w:rFonts w:ascii="Arial" w:cs="Arial" w:eastAsia="Arial" w:hAnsi="Arial"/>
                <w:sz w:val="22"/>
                <w:szCs w:val="22"/>
                <w:b w:val="1"/>
                <w:bCs w:val="1"/>
                <w:color w:val="auto"/>
              </w:rPr>
              <w:t>(In thousands)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6"/>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23"/>
        </w:trPr>
        <w:tc>
          <w:tcPr>
            <w:tcW w:w="8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9"/>
                <w:szCs w:val="19"/>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7"/>
                <w:szCs w:val="17"/>
                <w:color w:val="auto"/>
              </w:rPr>
            </w:pPr>
          </w:p>
        </w:tc>
        <w:tc>
          <w:tcPr>
            <w:tcW w:w="1040" w:type="dxa"/>
            <w:vAlign w:val="bottom"/>
          </w:tcPr>
          <w:p>
            <w:pPr>
              <w:jc w:val="right"/>
              <w:ind w:right="30"/>
              <w:spacing w:after="0" w:line="201" w:lineRule="exact"/>
              <w:rPr>
                <w:sz w:val="20"/>
                <w:szCs w:val="20"/>
                <w:color w:val="auto"/>
              </w:rPr>
            </w:pPr>
            <w:r>
              <w:rPr>
                <w:rFonts w:ascii="Arial" w:cs="Arial" w:eastAsia="Arial" w:hAnsi="Arial"/>
                <w:sz w:val="18"/>
                <w:szCs w:val="18"/>
                <w:b w:val="1"/>
                <w:bCs w:val="1"/>
                <w:color w:val="auto"/>
                <w:w w:val="89"/>
              </w:rPr>
              <w:t>(Unaudited)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30"/>
              <w:spacing w:after="0" w:line="201" w:lineRule="exact"/>
              <w:rPr>
                <w:sz w:val="20"/>
                <w:szCs w:val="20"/>
                <w:color w:val="auto"/>
              </w:rPr>
            </w:pPr>
            <w:r>
              <w:rPr>
                <w:rFonts w:ascii="Arial" w:cs="Arial" w:eastAsia="Arial" w:hAnsi="Arial"/>
                <w:sz w:val="18"/>
                <w:szCs w:val="18"/>
                <w:b w:val="1"/>
                <w:bCs w:val="1"/>
                <w:color w:val="auto"/>
                <w:w w:val="93"/>
              </w:rPr>
              <w:t>(Audited)</w:t>
            </w:r>
          </w:p>
        </w:tc>
        <w:tc>
          <w:tcPr>
            <w:tcW w:w="100" w:type="dxa"/>
            <w:vAlign w:val="bottom"/>
          </w:tcPr>
          <w:p>
            <w:pPr>
              <w:spacing w:after="0"/>
              <w:rPr>
                <w:sz w:val="17"/>
                <w:szCs w:val="17"/>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327,896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190,778</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34,161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7,000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deposits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5,020</w:t>
            </w: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3"/>
              </w:rPr>
              <w:t>Fees and other receivables (including related party receivables of $43,340 and $32,332 as of September 30, 2022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300"/>
              <w:spacing w:after="0"/>
              <w:rPr>
                <w:sz w:val="20"/>
                <w:szCs w:val="20"/>
                <w:color w:val="auto"/>
              </w:rPr>
            </w:pPr>
            <w:r>
              <w:rPr>
                <w:rFonts w:ascii="Arial" w:cs="Arial" w:eastAsia="Arial" w:hAnsi="Arial"/>
                <w:sz w:val="18"/>
                <w:szCs w:val="18"/>
                <w:color w:val="auto"/>
              </w:rPr>
              <w:t>and December 31, 2021, respectively)</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52,122</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32,332</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 in loans and securities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5,142</w:t>
            </w: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0"/>
              </w:rPr>
              <w:t>Prepaid expenses and other current assets (including related party assets of $15,500 and $1,367 as of September 30,</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8680" w:type="dxa"/>
            <w:vAlign w:val="bottom"/>
          </w:tcPr>
          <w:p>
            <w:pPr>
              <w:ind w:left="300"/>
              <w:spacing w:after="0"/>
              <w:rPr>
                <w:sz w:val="20"/>
                <w:szCs w:val="20"/>
                <w:color w:val="auto"/>
              </w:rPr>
            </w:pPr>
            <w:r>
              <w:rPr>
                <w:rFonts w:ascii="Arial" w:cs="Arial" w:eastAsia="Arial" w:hAnsi="Arial"/>
                <w:sz w:val="18"/>
                <w:szCs w:val="18"/>
                <w:color w:val="auto"/>
              </w:rPr>
              <w:t>2022 and December 31, 2021, respectively)</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22,512</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6,263</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439,137</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246,535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6,797</w:t>
            </w: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Fees and other receivables (including related party receivables of $30,701 and $19,208 as of September 30, 2022 and</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December 31, 2021,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31,250</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19,208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Investments in loans and securities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442,840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277,582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Equity method and other investments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25,807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Right-of-use asset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66,366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28,202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5,681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11,966</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2,706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non-current assets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610,434</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343,723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1,049,571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590,258</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11,580</w:t>
            </w: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5"/>
              </w:rPr>
              <w:t>Accrued expenses and other liabilities (including related party liabilities of $537 and $2,510 as of September 30,</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300"/>
              <w:spacing w:after="0"/>
              <w:rPr>
                <w:sz w:val="20"/>
                <w:szCs w:val="20"/>
                <w:color w:val="auto"/>
              </w:rPr>
            </w:pPr>
            <w:r>
              <w:rPr>
                <w:rFonts w:ascii="Arial" w:cs="Arial" w:eastAsia="Arial" w:hAnsi="Arial"/>
                <w:sz w:val="18"/>
                <w:szCs w:val="18"/>
                <w:color w:val="auto"/>
              </w:rPr>
              <w:t>2022 and December 31, 2021, respectively)</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40,343</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17,093</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liability - current</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Secured borrowing - current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26,251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 - 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10,924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88,984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28,673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Warrant liability</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27,469</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Secured borrowing - non-current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87,503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37,905</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Operating lease liability - non-current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53,501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 - non-current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22,773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11,812</w:t>
            </w:r>
          </w:p>
        </w:tc>
      </w:tr>
      <w:tr>
        <w:trPr>
          <w:trHeight w:val="223"/>
        </w:trPr>
        <w:tc>
          <w:tcPr>
            <w:tcW w:w="8680" w:type="dxa"/>
            <w:vAlign w:val="bottom"/>
            <w:tcBorders>
              <w:top w:val="single" w:sz="8" w:color="CCEEFF"/>
            </w:tcBorders>
          </w:tcPr>
          <w:p>
            <w:pPr>
              <w:ind w:left="340"/>
              <w:spacing w:after="0"/>
              <w:rPr>
                <w:sz w:val="20"/>
                <w:szCs w:val="20"/>
                <w:color w:val="auto"/>
              </w:rPr>
            </w:pPr>
            <w:r>
              <w:rPr>
                <w:rFonts w:ascii="Arial" w:cs="Arial" w:eastAsia="Arial" w:hAnsi="Arial"/>
                <w:sz w:val="18"/>
                <w:szCs w:val="18"/>
                <w:b w:val="1"/>
                <w:bCs w:val="1"/>
                <w:color w:val="auto"/>
              </w:rPr>
              <w:t>Total non-current liabilities</w:t>
            </w: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166,857</w:t>
            </w: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77,186</w:t>
            </w:r>
          </w:p>
        </w:tc>
        <w:tc>
          <w:tcPr>
            <w:tcW w:w="100" w:type="dxa"/>
            <w:vAlign w:val="bottom"/>
            <w:tcBorders>
              <w:top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255,841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105,859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Redeemable convertible preferred shares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307,047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Ordinary shares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947,381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113,170</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(380,201)</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(111,878)</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Pagaya Technologies Ltd. Shareholders’ Equity</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567,180</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226,550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176,060</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793,730</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177,352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1,049,571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590,258</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8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PAGAYA TECHNOLOGIES LTD.</w:t>
      </w:r>
    </w:p>
    <w:p>
      <w:pPr>
        <w:spacing w:after="0" w:line="15" w:lineRule="exact"/>
        <w:rPr>
          <w:sz w:val="20"/>
          <w:szCs w:val="20"/>
          <w:color w:val="auto"/>
        </w:rPr>
      </w:pPr>
    </w:p>
    <w:p>
      <w:pPr>
        <w:ind w:right="900"/>
        <w:spacing w:after="0" w:line="230" w:lineRule="auto"/>
        <w:rPr>
          <w:sz w:val="20"/>
          <w:szCs w:val="20"/>
          <w:color w:val="auto"/>
        </w:rPr>
      </w:pPr>
      <w:r>
        <w:rPr>
          <w:rFonts w:ascii="Arial" w:cs="Arial" w:eastAsia="Arial" w:hAnsi="Arial"/>
          <w:sz w:val="22"/>
          <w:szCs w:val="22"/>
          <w:b w:val="1"/>
          <w:bCs w:val="1"/>
          <w:color w:val="auto"/>
        </w:rPr>
        <w:t>UNAUDITED CONDENSED CONSOLIDATED STATEMENTS OF OPERATIONS AND COMPREHENSIVE INCOME (LOSS)</w:t>
      </w:r>
    </w:p>
    <w:p>
      <w:pPr>
        <w:spacing w:after="0" w:line="1" w:lineRule="exact"/>
        <w:rPr>
          <w:sz w:val="20"/>
          <w:szCs w:val="20"/>
          <w:color w:val="auto"/>
        </w:rPr>
      </w:pPr>
    </w:p>
    <w:p>
      <w:pPr>
        <w:ind w:right="3820"/>
        <w:spacing w:after="0" w:line="236" w:lineRule="auto"/>
        <w:rPr>
          <w:sz w:val="20"/>
          <w:szCs w:val="20"/>
          <w:color w:val="auto"/>
        </w:rPr>
      </w:pPr>
      <w:r>
        <w:rPr>
          <w:rFonts w:ascii="Arial" w:cs="Arial" w:eastAsia="Arial" w:hAnsi="Arial"/>
          <w:sz w:val="22"/>
          <w:szCs w:val="22"/>
          <w:b w:val="1"/>
          <w:bCs w:val="1"/>
          <w:color w:val="auto"/>
        </w:rPr>
        <w:t>FOR THREE AND NINE MONTHS ENDED SEPTEMBER 30, 2022 AND 2021 (In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238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238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9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9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Revenue from fees (including related party revenues of $171,300 and</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$128,149 for the three months ended September 30, 2022 and 2021,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 and $492,300 and $301,604 for the nine months ended</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30, 2022 and 2021, respectively)</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185,614</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128,149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507,241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301,604</w:t>
            </w: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13,666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8,455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43,127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18,256</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Investment income (loss)(1)</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4,675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5,670</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 and Other Income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203,955</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136,590</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556,038</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319,858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Costs and Operating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Production costs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129,115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81,731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326,375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181,505</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38,643</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11,932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127,379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51,344</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26,579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90,229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37,564</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73,790</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18,961</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236,863</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53,068</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Costs and Operating Expenses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268,127</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121,785</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780,846</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323,481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(64,172)</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14,805</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(224,808)</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(3,623)</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(loss), net(2)</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(32,768)</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9,846</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(51,539)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(60,939)</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(17,963)</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(214,962)</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(55,162)</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expense(2)</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25,604</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(67,004)</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(21,587)</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(240,566)</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(66,579)</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7,785</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6,570</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27,757</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Net Loss Attributable to Pagaya Technologies Ltd.</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(74,789)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(28,157)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(268,323)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(80,695)</w:t>
            </w:r>
          </w:p>
        </w:tc>
      </w:tr>
      <w:tr>
        <w:trPr>
          <w:trHeight w:val="21"/>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loss attributable to Pagaya Technologies Ltd.</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(74,789)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(28,157)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(268,323)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(80,695)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Less: Undistributed earnings allocated to participated securities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(12,205)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(13,494)</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Less: Deemed dividend distribution</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(23,612)</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attributed to Pagaya Technologies Ltd.</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(74,789)</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(280,528)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(117,801)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b w:val="1"/>
                <w:bCs w:val="1"/>
                <w:color w:val="auto"/>
              </w:rPr>
              <w:t>Net loss per share attributable to Pagaya Technologies Ltd.: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(0.61)</w:t>
            </w:r>
          </w:p>
        </w:tc>
      </w:tr>
      <w:tr>
        <w:trPr>
          <w:trHeight w:val="195"/>
        </w:trPr>
        <w:tc>
          <w:tcPr>
            <w:tcW w:w="598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b w:val="1"/>
                <w:bCs w:val="1"/>
                <w:color w:val="auto"/>
              </w:rPr>
              <w:t>Weighted average shares outstanding:</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Basic and Diluted(3)</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u w:val="single" w:color="auto"/>
                <w:color w:val="auto"/>
                <w:w w:val="93"/>
              </w:rPr>
              <w:t>679,431,901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93"/>
              </w:rPr>
              <w:t>196,023,981</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91"/>
              </w:rPr>
              <w:t>381,831,895</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93"/>
              </w:rPr>
              <w:t>194,490,947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3" w:lineRule="exact"/>
        <w:rPr>
          <w:sz w:val="20"/>
          <w:szCs w:val="20"/>
          <w:color w:val="auto"/>
        </w:rPr>
      </w:pPr>
    </w:p>
    <w:p>
      <w:pPr>
        <w:ind w:left="320" w:hanging="312"/>
        <w:spacing w:after="0"/>
        <w:tabs>
          <w:tab w:leader="none" w:pos="32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Includes income from proprietary investments.</w:t>
      </w:r>
    </w:p>
    <w:p>
      <w:pPr>
        <w:spacing w:after="0" w:line="8" w:lineRule="exact"/>
        <w:rPr>
          <w:rFonts w:ascii="Arial" w:cs="Arial" w:eastAsia="Arial" w:hAnsi="Arial"/>
          <w:sz w:val="22"/>
          <w:szCs w:val="22"/>
          <w:color w:val="auto"/>
        </w:rPr>
      </w:pPr>
    </w:p>
    <w:p>
      <w:pPr>
        <w:jc w:val="both"/>
        <w:ind w:right="20" w:firstLine="8"/>
        <w:spacing w:after="0" w:line="230" w:lineRule="auto"/>
        <w:tabs>
          <w:tab w:leader="none" w:pos="306" w:val="left"/>
        </w:tabs>
        <w:numPr>
          <w:ilvl w:val="0"/>
          <w:numId w:val="3"/>
        </w:numPr>
        <w:rPr>
          <w:rFonts w:ascii="Arial" w:cs="Arial" w:eastAsia="Arial" w:hAnsi="Arial"/>
          <w:sz w:val="22"/>
          <w:szCs w:val="22"/>
          <w:color w:val="auto"/>
        </w:rPr>
      </w:pPr>
      <w:r>
        <w:rPr>
          <w:rFonts w:ascii="Arial" w:cs="Arial" w:eastAsia="Arial" w:hAnsi="Arial"/>
          <w:sz w:val="22"/>
          <w:szCs w:val="22"/>
          <w:color w:val="auto"/>
        </w:rPr>
        <w:t>Amounts for the nine months ended September 30, 2022 include certain adjustments for the second quarter of 2022 relating to deferred tax assets and warrant liability, which were not originally recorded as of and for the three and six months ended June 30, 2022.</w:t>
      </w:r>
    </w:p>
    <w:p>
      <w:pPr>
        <w:spacing w:after="0" w:line="1" w:lineRule="exact"/>
        <w:rPr>
          <w:rFonts w:ascii="Arial" w:cs="Arial" w:eastAsia="Arial" w:hAnsi="Arial"/>
          <w:sz w:val="22"/>
          <w:szCs w:val="22"/>
          <w:color w:val="auto"/>
        </w:rPr>
      </w:pPr>
    </w:p>
    <w:p>
      <w:pPr>
        <w:ind w:left="320" w:hanging="312"/>
        <w:spacing w:after="0"/>
        <w:tabs>
          <w:tab w:leader="none" w:pos="320" w:val="left"/>
        </w:tabs>
        <w:numPr>
          <w:ilvl w:val="0"/>
          <w:numId w:val="3"/>
        </w:numPr>
        <w:rPr>
          <w:rFonts w:ascii="Arial" w:cs="Arial" w:eastAsia="Arial" w:hAnsi="Arial"/>
          <w:sz w:val="21"/>
          <w:szCs w:val="21"/>
          <w:color w:val="auto"/>
        </w:rPr>
      </w:pPr>
      <w:r>
        <w:rPr>
          <w:rFonts w:ascii="Arial" w:cs="Arial" w:eastAsia="Arial" w:hAnsi="Arial"/>
          <w:sz w:val="21"/>
          <w:szCs w:val="21"/>
          <w:color w:val="auto"/>
        </w:rPr>
        <w:t>Prior period amounts have been retroactively adjusted to reflect the 1:186.9 stock split effected on June 22,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auto"/>
        </w:rPr>
        <w:t>PAGAYA TECHNOLOGIES LTD.</w:t>
      </w:r>
    </w:p>
    <w:p>
      <w:pPr>
        <w:spacing w:after="0" w:line="15" w:lineRule="exact"/>
        <w:rPr>
          <w:sz w:val="20"/>
          <w:szCs w:val="20"/>
          <w:color w:val="auto"/>
        </w:rPr>
      </w:pPr>
    </w:p>
    <w:p>
      <w:pPr>
        <w:ind w:right="720"/>
        <w:spacing w:after="0" w:line="230" w:lineRule="auto"/>
        <w:rPr>
          <w:sz w:val="20"/>
          <w:szCs w:val="20"/>
          <w:color w:val="auto"/>
        </w:rPr>
      </w:pPr>
      <w:r>
        <w:rPr>
          <w:rFonts w:ascii="Arial" w:cs="Arial" w:eastAsia="Arial" w:hAnsi="Arial"/>
          <w:sz w:val="22"/>
          <w:szCs w:val="22"/>
          <w:b w:val="1"/>
          <w:bCs w:val="1"/>
          <w:color w:val="auto"/>
        </w:rPr>
        <w:t>UNAUDITED CONDENSED CONSOLIDATED STATEMENT OF CHANGES IN SHAREHOLDERS’ EQUITY (DEFICIT)</w:t>
      </w:r>
    </w:p>
    <w:p>
      <w:pPr>
        <w:spacing w:after="0" w:line="1" w:lineRule="exact"/>
        <w:rPr>
          <w:sz w:val="20"/>
          <w:szCs w:val="20"/>
          <w:color w:val="auto"/>
        </w:rPr>
      </w:pPr>
    </w:p>
    <w:p>
      <w:pPr>
        <w:ind w:right="3800"/>
        <w:spacing w:after="0" w:line="236" w:lineRule="auto"/>
        <w:rPr>
          <w:sz w:val="20"/>
          <w:szCs w:val="20"/>
          <w:color w:val="auto"/>
        </w:rPr>
      </w:pPr>
      <w:r>
        <w:rPr>
          <w:rFonts w:ascii="Arial" w:cs="Arial" w:eastAsia="Arial" w:hAnsi="Arial"/>
          <w:sz w:val="22"/>
          <w:szCs w:val="22"/>
          <w:b w:val="1"/>
          <w:bCs w:val="1"/>
          <w:color w:val="auto"/>
        </w:rPr>
        <w:t>FOR THREE AND NINE MONTHS ENDED SEPTEMBER 30, 2022 AND 2021 (In thousands, except share amounts)</w:t>
      </w:r>
    </w:p>
    <w:p>
      <w:pPr>
        <w:spacing w:after="0" w:line="200" w:lineRule="exact"/>
        <w:rPr>
          <w:sz w:val="20"/>
          <w:szCs w:val="20"/>
          <w:color w:val="auto"/>
        </w:rPr>
      </w:pPr>
    </w:p>
    <w:p>
      <w:pPr>
        <w:spacing w:after="0" w:line="233" w:lineRule="exact"/>
        <w:rPr>
          <w:sz w:val="20"/>
          <w:szCs w:val="20"/>
          <w:color w:val="auto"/>
        </w:rPr>
      </w:pPr>
    </w:p>
    <w:tbl>
      <w:tblPr>
        <w:tblLayout w:type="fixed"/>
        <w:tblInd w:w="1200" w:type="dxa"/>
        <w:tblCellMar>
          <w:top w:w="0" w:type="dxa"/>
          <w:left w:w="0" w:type="dxa"/>
          <w:bottom w:w="0" w:type="dxa"/>
          <w:right w:w="0" w:type="dxa"/>
        </w:tblCellMar>
      </w:tblPr>
      <w:tr>
        <w:trPr>
          <w:trHeight w:val="216"/>
        </w:trPr>
        <w:tc>
          <w:tcPr>
            <w:tcW w:w="1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Redeemable Convertible</w:t>
            </w: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41"/>
        </w:trPr>
        <w:tc>
          <w:tcPr>
            <w:tcW w:w="1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Preferred Shares</w:t>
            </w:r>
          </w:p>
        </w:tc>
        <w:tc>
          <w:tcPr>
            <w:tcW w:w="120" w:type="dxa"/>
            <w:vAlign w:val="bottom"/>
          </w:tcPr>
          <w:p>
            <w:pPr>
              <w:spacing w:after="0"/>
              <w:rPr>
                <w:sz w:val="20"/>
                <w:szCs w:val="20"/>
                <w:color w:val="auto"/>
              </w:rPr>
            </w:pPr>
          </w:p>
        </w:tc>
        <w:tc>
          <w:tcPr>
            <w:tcW w:w="3060" w:type="dxa"/>
            <w:vAlign w:val="bottom"/>
            <w:gridSpan w:val="2"/>
          </w:tcPr>
          <w:p>
            <w:pPr>
              <w:jc w:val="right"/>
              <w:ind w:right="1350"/>
              <w:spacing w:after="0"/>
              <w:rPr>
                <w:sz w:val="20"/>
                <w:szCs w:val="20"/>
                <w:color w:val="auto"/>
              </w:rPr>
            </w:pPr>
            <w:r>
              <w:rPr>
                <w:rFonts w:ascii="Arial" w:cs="Arial" w:eastAsia="Arial" w:hAnsi="Arial"/>
                <w:sz w:val="18"/>
                <w:szCs w:val="18"/>
                <w:b w:val="1"/>
                <w:bCs w:val="1"/>
                <w:color w:val="auto"/>
              </w:rPr>
              <w:t>Ordinary Shares</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198"/>
        </w:trPr>
        <w:tc>
          <w:tcPr>
            <w:tcW w:w="10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Total Pagaya</w:t>
            </w: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4"/>
              </w:rPr>
              <w:t>Technologies</w:t>
            </w: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2"/>
              </w:rPr>
              <w:t>Retained</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6"/>
              </w:rPr>
              <w:t>Ltd.</w:t>
            </w: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Additional</w:t>
            </w:r>
          </w:p>
        </w:tc>
        <w:tc>
          <w:tcPr>
            <w:tcW w:w="1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Shareholders’</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2"/>
              </w:rPr>
              <w:t>Non-</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rPr>
              <w:t>Paid-In</w:t>
            </w:r>
          </w:p>
        </w:tc>
        <w:tc>
          <w:tcPr>
            <w:tcW w:w="1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4"/>
              </w:rPr>
              <w:t>Equity</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3"/>
              </w:rPr>
              <w:t>Controlling</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Shareholders’</w:t>
            </w:r>
          </w:p>
        </w:tc>
      </w:tr>
      <w:tr>
        <w:trPr>
          <w:trHeight w:val="234"/>
        </w:trPr>
        <w:tc>
          <w:tcPr>
            <w:tcW w:w="1040" w:type="dxa"/>
            <w:vAlign w:val="bottom"/>
          </w:tcPr>
          <w:p>
            <w:pPr>
              <w:ind w:left="120"/>
              <w:spacing w:after="0"/>
              <w:rPr>
                <w:sz w:val="20"/>
                <w:szCs w:val="20"/>
                <w:color w:val="auto"/>
              </w:rPr>
            </w:pPr>
            <w:r>
              <w:rPr>
                <w:rFonts w:ascii="Arial" w:cs="Arial" w:eastAsia="Arial" w:hAnsi="Arial"/>
                <w:sz w:val="18"/>
                <w:szCs w:val="18"/>
                <w:b w:val="1"/>
                <w:bCs w:val="1"/>
                <w:color w:val="auto"/>
              </w:rPr>
              <w:t>Shares(1)</w:t>
            </w:r>
          </w:p>
        </w:tc>
        <w:tc>
          <w:tcPr>
            <w:tcW w:w="880" w:type="dxa"/>
            <w:vAlign w:val="bottom"/>
          </w:tcPr>
          <w:p>
            <w:pPr>
              <w:ind w:left="180"/>
              <w:spacing w:after="0"/>
              <w:rPr>
                <w:sz w:val="20"/>
                <w:szCs w:val="20"/>
                <w:color w:val="auto"/>
              </w:rPr>
            </w:pPr>
            <w:r>
              <w:rPr>
                <w:rFonts w:ascii="Arial" w:cs="Arial" w:eastAsia="Arial" w:hAnsi="Arial"/>
                <w:sz w:val="18"/>
                <w:szCs w:val="18"/>
                <w:b w:val="1"/>
                <w:bCs w:val="1"/>
                <w:color w:val="auto"/>
                <w:w w:val="99"/>
              </w:rPr>
              <w:t>Amount</w:t>
            </w:r>
          </w:p>
        </w:tc>
        <w:tc>
          <w:tcPr>
            <w:tcW w:w="120" w:type="dxa"/>
            <w:vAlign w:val="bottom"/>
          </w:tcPr>
          <w:p>
            <w:pPr>
              <w:spacing w:after="0"/>
              <w:rPr>
                <w:sz w:val="20"/>
                <w:szCs w:val="20"/>
                <w:color w:val="auto"/>
              </w:rPr>
            </w:pPr>
          </w:p>
        </w:tc>
        <w:tc>
          <w:tcPr>
            <w:tcW w:w="30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Shares(1)   ​ Amount  ​  Capital</w:t>
            </w:r>
          </w:p>
        </w:tc>
        <w:tc>
          <w:tcPr>
            <w:tcW w:w="14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4"/>
              </w:rPr>
              <w:t>Deficit)</w:t>
            </w:r>
          </w:p>
        </w:tc>
        <w:tc>
          <w:tcPr>
            <w:tcW w:w="14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5"/>
              </w:rPr>
              <w:t>(Deficit)</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7"/>
              </w:rPr>
              <w:t>Interests</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4"/>
              </w:rPr>
              <w:t>Equity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0</wp:posOffset>
            </wp:positionV>
            <wp:extent cx="213423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34235"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tbl>
      <w:tblPr>
        <w:tblLayout w:type="fixed"/>
        <w:tblInd w:w="0" w:type="dxa"/>
        <w:tblCellMar>
          <w:top w:w="0" w:type="dxa"/>
          <w:left w:w="0" w:type="dxa"/>
          <w:bottom w:w="0" w:type="dxa"/>
          <w:right w:w="0" w:type="dxa"/>
        </w:tblCellMar>
      </w:tblPr>
      <w:tr>
        <w:trPr>
          <w:trHeight w:val="205"/>
        </w:trPr>
        <w:tc>
          <w:tcPr>
            <w:tcW w:w="1200" w:type="dxa"/>
            <w:vAlign w:val="bottom"/>
          </w:tcPr>
          <w:p>
            <w:pPr>
              <w:spacing w:after="0" w:line="205" w:lineRule="exact"/>
              <w:rPr>
                <w:sz w:val="20"/>
                <w:szCs w:val="20"/>
                <w:color w:val="auto"/>
              </w:rPr>
            </w:pPr>
            <w:r>
              <w:rPr>
                <w:rFonts w:ascii="Arial" w:cs="Arial" w:eastAsia="Arial" w:hAnsi="Arial"/>
                <w:sz w:val="18"/>
                <w:szCs w:val="18"/>
                <w:b w:val="1"/>
                <w:bCs w:val="1"/>
                <w:color w:val="auto"/>
              </w:rPr>
              <w:t>Balance –</w:t>
            </w:r>
          </w:p>
        </w:tc>
        <w:tc>
          <w:tcPr>
            <w:tcW w:w="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b w:val="1"/>
                <w:bCs w:val="1"/>
                <w:color w:val="auto"/>
              </w:rPr>
              <w:t>June 30,</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1200" w:type="dxa"/>
            <w:vAlign w:val="bottom"/>
          </w:tcPr>
          <w:p>
            <w:pPr>
              <w:ind w:left="140"/>
              <w:spacing w:after="0"/>
              <w:rPr>
                <w:sz w:val="20"/>
                <w:szCs w:val="20"/>
                <w:color w:val="auto"/>
              </w:rPr>
            </w:pPr>
            <w:r>
              <w:rPr>
                <w:rFonts w:ascii="Arial" w:cs="Arial" w:eastAsia="Arial" w:hAnsi="Arial"/>
                <w:sz w:val="18"/>
                <w:szCs w:val="18"/>
                <w:b w:val="1"/>
                <w:bCs w:val="1"/>
                <w:color w:val="auto"/>
              </w:rPr>
              <w:t>2021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3"/>
              </w:rPr>
              <w:t>402,666,012</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$ 278,626</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w w:val="95"/>
              </w:rPr>
              <w:t>191,056,558</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103,930</w:t>
            </w:r>
          </w:p>
        </w:tc>
        <w:tc>
          <w:tcPr>
            <w:tcW w:w="380" w:type="dxa"/>
            <w:vAlign w:val="bottom"/>
            <w:gridSpan w:val="2"/>
            <w:vMerge w:val="continue"/>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(73,265)</w:t>
            </w:r>
          </w:p>
        </w:tc>
        <w:tc>
          <w:tcPr>
            <w:tcW w:w="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20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rPr>
              <w:t>Preferred D</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rPr>
              <w:t>shares upon</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rPr>
              <w:t>exercise of</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rPr>
              <w:t>warrants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1,000,616</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6,009</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Issuance of</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rPr>
              <w:t>ordinary</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rPr>
              <w:t>shares upon</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rPr>
              <w:t>exercise of</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w w:val="96"/>
              </w:rPr>
              <w:t>share options</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2,857,595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Share-based</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w w:val="92"/>
              </w:rPr>
              <w:t>compensation</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3,857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Contributions</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w w:val="97"/>
              </w:rPr>
              <w:t>of interests in</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rPr>
              <w:t>consolidated</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rPr>
              <w:t>VIEs</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Return of</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rPr>
              <w:t>capital to</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rPr>
              <w:t>interests in</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rPr>
              <w:t>consolidated</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rPr>
              <w:t>VIEs</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Net income</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200" w:type="dxa"/>
            <w:vAlign w:val="bottom"/>
          </w:tcPr>
          <w:p>
            <w:pPr>
              <w:ind w:left="140"/>
              <w:spacing w:after="0"/>
              <w:rPr>
                <w:sz w:val="20"/>
                <w:szCs w:val="20"/>
                <w:color w:val="auto"/>
              </w:rPr>
            </w:pPr>
            <w:r>
              <w:rPr>
                <w:rFonts w:ascii="Arial" w:cs="Arial" w:eastAsia="Arial" w:hAnsi="Arial"/>
                <w:sz w:val="18"/>
                <w:szCs w:val="18"/>
                <w:color w:val="auto"/>
              </w:rPr>
              <w:t>(loss)</w:t>
            </w:r>
          </w:p>
        </w:tc>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(28,157)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00" w:type="dxa"/>
            <w:vAlign w:val="bottom"/>
          </w:tcPr>
          <w:p>
            <w:pPr>
              <w:spacing w:after="0" w:line="198" w:lineRule="exact"/>
              <w:rPr>
                <w:sz w:val="20"/>
                <w:szCs w:val="20"/>
                <w:color w:val="auto"/>
              </w:rPr>
            </w:pPr>
            <w:r>
              <w:rPr>
                <w:rFonts w:ascii="Arial" w:cs="Arial" w:eastAsia="Arial" w:hAnsi="Arial"/>
                <w:sz w:val="18"/>
                <w:szCs w:val="18"/>
                <w:b w:val="1"/>
                <w:bCs w:val="1"/>
                <w:color w:val="auto"/>
              </w:rPr>
              <w:t>Balance – </w:t>
            </w:r>
          </w:p>
        </w:tc>
        <w:tc>
          <w:tcPr>
            <w:tcW w:w="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b w:val="1"/>
                <w:bCs w:val="1"/>
                <w:color w:val="auto"/>
              </w:rPr>
              <w:t>September</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0" w:type="dxa"/>
            <w:vAlign w:val="bottom"/>
          </w:tcPr>
          <w:p>
            <w:pPr>
              <w:ind w:left="140"/>
              <w:spacing w:after="0"/>
              <w:rPr>
                <w:sz w:val="20"/>
                <w:szCs w:val="20"/>
                <w:color w:val="auto"/>
              </w:rPr>
            </w:pPr>
            <w:r>
              <w:rPr>
                <w:rFonts w:ascii="Arial" w:cs="Arial" w:eastAsia="Arial" w:hAnsi="Arial"/>
                <w:sz w:val="18"/>
                <w:szCs w:val="18"/>
                <w:b w:val="1"/>
                <w:bCs w:val="1"/>
                <w:color w:val="auto"/>
              </w:rPr>
              <w:t>30, 2021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3"/>
              </w:rPr>
              <w:t>403,666,628</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$ 284,635</w:t>
            </w: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w w:val="95"/>
              </w:rPr>
              <w:t>193,914,153</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107,879</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(101,422)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-4045585</wp:posOffset>
            </wp:positionV>
            <wp:extent cx="7132320" cy="4286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286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-2931160</wp:posOffset>
            </wp:positionV>
            <wp:extent cx="7132320" cy="685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6858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-1971040</wp:posOffset>
            </wp:positionV>
            <wp:extent cx="7132320" cy="548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-736600</wp:posOffset>
            </wp:positionV>
            <wp:extent cx="7132320" cy="2914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30,665</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142,911</w:t>
            </w:r>
          </w:p>
        </w:tc>
        <w:tc>
          <w:tcPr>
            <w:tcW w:w="160" w:type="dxa"/>
            <w:vAlign w:val="bottom"/>
          </w:tcPr>
          <w:p>
            <w:pPr>
              <w:spacing w:after="0"/>
              <w:rPr>
                <w:sz w:val="22"/>
                <w:szCs w:val="22"/>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173,576</w:t>
            </w:r>
          </w:p>
        </w:tc>
        <w:tc>
          <w:tcPr>
            <w:tcW w:w="60" w:type="dxa"/>
            <w:vAlign w:val="bottom"/>
          </w:tcPr>
          <w:p>
            <w:pPr>
              <w:spacing w:after="0"/>
              <w:rPr>
                <w:sz w:val="22"/>
                <w:szCs w:val="22"/>
                <w:color w:val="auto"/>
              </w:rPr>
            </w:pPr>
          </w:p>
        </w:tc>
      </w:tr>
      <w:tr>
        <w:trPr>
          <w:trHeight w:val="1080"/>
        </w:trPr>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1080"/>
        </w:trPr>
        <w:tc>
          <w:tcPr>
            <w:tcW w:w="700" w:type="dxa"/>
            <w:vAlign w:val="bottom"/>
          </w:tcPr>
          <w:p>
            <w:pPr>
              <w:jc w:val="right"/>
              <w:ind w:right="50"/>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r>
      <w:tr>
        <w:trPr>
          <w:trHeight w:val="432"/>
        </w:trPr>
        <w:tc>
          <w:tcPr>
            <w:tcW w:w="700" w:type="dxa"/>
            <w:vAlign w:val="bottom"/>
          </w:tcPr>
          <w:p>
            <w:pPr>
              <w:jc w:val="right"/>
              <w:ind w:right="50"/>
              <w:spacing w:after="0"/>
              <w:rPr>
                <w:sz w:val="20"/>
                <w:szCs w:val="20"/>
                <w:color w:val="auto"/>
              </w:rPr>
            </w:pPr>
            <w:r>
              <w:rPr>
                <w:rFonts w:ascii="Arial" w:cs="Arial" w:eastAsia="Arial" w:hAnsi="Arial"/>
                <w:sz w:val="18"/>
                <w:szCs w:val="18"/>
                <w:color w:val="auto"/>
              </w:rPr>
              <w:t>3,857</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3,857</w:t>
            </w:r>
          </w:p>
        </w:tc>
      </w:tr>
      <w:tr>
        <w:trPr>
          <w:trHeight w:val="864"/>
        </w:trPr>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46,182</w:t>
            </w:r>
          </w:p>
        </w:tc>
        <w:tc>
          <w:tcPr>
            <w:tcW w:w="30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46,182</w:t>
            </w:r>
          </w:p>
        </w:tc>
      </w:tr>
      <w:tr>
        <w:trPr>
          <w:trHeight w:val="1080"/>
        </w:trPr>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(21,089)</w:t>
            </w:r>
          </w:p>
        </w:tc>
        <w:tc>
          <w:tcPr>
            <w:tcW w:w="3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(21,089)</w:t>
            </w:r>
          </w:p>
        </w:tc>
      </w:tr>
      <w:tr>
        <w:trPr>
          <w:trHeight w:val="439"/>
        </w:trPr>
        <w:tc>
          <w:tcPr>
            <w:tcW w:w="700" w:type="dxa"/>
            <w:vAlign w:val="bottom"/>
          </w:tcPr>
          <w:p>
            <w:pPr>
              <w:jc w:val="right"/>
              <w:spacing w:after="0"/>
              <w:rPr>
                <w:sz w:val="20"/>
                <w:szCs w:val="20"/>
                <w:color w:val="auto"/>
              </w:rPr>
            </w:pPr>
            <w:r>
              <w:rPr>
                <w:rFonts w:ascii="Arial" w:cs="Arial" w:eastAsia="Arial" w:hAnsi="Arial"/>
                <w:sz w:val="18"/>
                <w:szCs w:val="18"/>
                <w:color w:val="auto"/>
                <w:w w:val="89"/>
              </w:rPr>
              <w:t>(28,157)</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6,570</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(21,587)</w:t>
            </w:r>
          </w:p>
        </w:tc>
      </w:tr>
      <w:tr>
        <w:trPr>
          <w:trHeight w:val="648"/>
        </w:trPr>
        <w:tc>
          <w:tcPr>
            <w:tcW w:w="700" w:type="dxa"/>
            <w:vAlign w:val="bottom"/>
          </w:tcPr>
          <w:p>
            <w:pPr>
              <w:jc w:val="right"/>
              <w:ind w:right="50"/>
              <w:spacing w:after="0"/>
              <w:rPr>
                <w:sz w:val="20"/>
                <w:szCs w:val="20"/>
                <w:color w:val="auto"/>
              </w:rPr>
            </w:pPr>
            <w:r>
              <w:rPr>
                <w:rFonts w:ascii="Arial" w:cs="Arial" w:eastAsia="Arial" w:hAnsi="Arial"/>
                <w:sz w:val="18"/>
                <w:szCs w:val="18"/>
                <w:color w:val="auto"/>
              </w:rPr>
              <w:t>6,457</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174,574</w:t>
            </w:r>
          </w:p>
        </w:tc>
        <w:tc>
          <w:tcPr>
            <w:tcW w:w="16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181,031</w:t>
            </w:r>
          </w:p>
        </w:tc>
        <w:tc>
          <w:tcPr>
            <w:tcW w:w="6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-33655</wp:posOffset>
            </wp:positionV>
            <wp:extent cx="6858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-7620</wp:posOffset>
            </wp:positionV>
            <wp:extent cx="6858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ectPr>
          <w:pgSz w:w="11900" w:h="16838" w:orient="portrait"/>
          <w:cols w:equalWidth="0" w:num="2">
            <w:col w:w="7880" w:space="440"/>
            <w:col w:w="2900"/>
          </w:cols>
          <w:pgMar w:left="320" w:top="112" w:right="35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204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0"/>
              </w:rPr>
              <w:t>Redeemable Convertible</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1200" w:type="dxa"/>
            <w:vAlign w:val="bottom"/>
          </w:tcPr>
          <w:p>
            <w:pPr>
              <w:spacing w:after="0"/>
              <w:rPr>
                <w:sz w:val="20"/>
                <w:szCs w:val="20"/>
                <w:color w:val="auto"/>
              </w:rPr>
            </w:pPr>
          </w:p>
        </w:tc>
        <w:tc>
          <w:tcPr>
            <w:tcW w:w="204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9"/>
              </w:rPr>
              <w:t>Preferred Shares</w:t>
            </w:r>
          </w:p>
        </w:tc>
        <w:tc>
          <w:tcPr>
            <w:tcW w:w="168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Ordinary Shares</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12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90"/>
              </w:rPr>
              <w:t>Total Pagaya</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4"/>
              </w:rPr>
              <w:t>Technologies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Retained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Ltd.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8"/>
                <w:szCs w:val="18"/>
                <w:b w:val="1"/>
                <w:bCs w:val="1"/>
                <w:color w:val="auto"/>
                <w:w w:val="99"/>
              </w:rPr>
              <w:t>Additional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Earnings</w:t>
            </w:r>
          </w:p>
        </w:tc>
        <w:tc>
          <w:tcPr>
            <w:tcW w:w="160" w:type="dxa"/>
            <w:vAlign w:val="bottom"/>
          </w:tcPr>
          <w:p>
            <w:pPr>
              <w:spacing w:after="0"/>
              <w:rPr>
                <w:sz w:val="18"/>
                <w:szCs w:val="18"/>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Shareholders’</w:t>
            </w: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Non-</w:t>
            </w:r>
          </w:p>
        </w:tc>
        <w:tc>
          <w:tcPr>
            <w:tcW w:w="1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r>
      <w:tr>
        <w:trPr>
          <w:trHeight w:val="216"/>
        </w:trPr>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6"/>
              </w:rPr>
              <w:t>Paid-In</w:t>
            </w:r>
          </w:p>
        </w:tc>
        <w:tc>
          <w:tcPr>
            <w:tcW w:w="180" w:type="dxa"/>
            <w:vAlign w:val="bottom"/>
          </w:tcPr>
          <w:p>
            <w:pPr>
              <w:spacing w:after="0"/>
              <w:rPr>
                <w:sz w:val="18"/>
                <w:szCs w:val="18"/>
                <w:color w:val="auto"/>
              </w:rPr>
            </w:pPr>
          </w:p>
        </w:tc>
        <w:tc>
          <w:tcPr>
            <w:tcW w:w="11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rPr>
              <w:t>Controlling</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4"/>
              </w:rPr>
              <w:t>Shareholders’</w:t>
            </w:r>
          </w:p>
        </w:tc>
      </w:tr>
      <w:tr>
        <w:trPr>
          <w:trHeight w:val="241"/>
        </w:trPr>
        <w:tc>
          <w:tcPr>
            <w:tcW w:w="1200" w:type="dxa"/>
            <w:vAlign w:val="bottom"/>
          </w:tcPr>
          <w:p>
            <w:pPr>
              <w:spacing w:after="0"/>
              <w:rPr>
                <w:sz w:val="20"/>
                <w:szCs w:val="20"/>
                <w:color w:val="auto"/>
              </w:rPr>
            </w:pPr>
          </w:p>
        </w:tc>
        <w:tc>
          <w:tcPr>
            <w:tcW w:w="1060" w:type="dxa"/>
            <w:vAlign w:val="bottom"/>
            <w:gridSpan w:val="2"/>
          </w:tcPr>
          <w:p>
            <w:pPr>
              <w:ind w:left="120"/>
              <w:spacing w:after="0"/>
              <w:rPr>
                <w:sz w:val="20"/>
                <w:szCs w:val="20"/>
                <w:color w:val="auto"/>
              </w:rPr>
            </w:pPr>
            <w:r>
              <w:rPr>
                <w:rFonts w:ascii="Arial" w:cs="Arial" w:eastAsia="Arial" w:hAnsi="Arial"/>
                <w:sz w:val="18"/>
                <w:szCs w:val="18"/>
                <w:b w:val="1"/>
                <w:bCs w:val="1"/>
                <w:color w:val="auto"/>
              </w:rPr>
              <w:t>Shares(1)</w:t>
            </w:r>
          </w:p>
        </w:tc>
        <w:tc>
          <w:tcPr>
            <w:tcW w:w="12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Shares(1)</w:t>
            </w:r>
          </w:p>
        </w:tc>
        <w:tc>
          <w:tcPr>
            <w:tcW w:w="940" w:type="dxa"/>
            <w:vAlign w:val="bottom"/>
            <w:gridSpan w:val="4"/>
          </w:tcPr>
          <w:p>
            <w:pPr>
              <w:ind w:left="60"/>
              <w:spacing w:after="0"/>
              <w:rPr>
                <w:sz w:val="20"/>
                <w:szCs w:val="20"/>
                <w:color w:val="auto"/>
              </w:rPr>
            </w:pPr>
            <w:r>
              <w:rPr>
                <w:rFonts w:ascii="Arial" w:cs="Arial" w:eastAsia="Arial" w:hAnsi="Arial"/>
                <w:sz w:val="18"/>
                <w:szCs w:val="18"/>
                <w:b w:val="1"/>
                <w:bCs w:val="1"/>
                <w:color w:val="auto"/>
              </w:rPr>
              <w:t>​ Amount</w:t>
            </w:r>
          </w:p>
        </w:tc>
        <w:tc>
          <w:tcPr>
            <w:tcW w:w="28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6"/>
              </w:rPr>
              <w:t>Capital</w:t>
            </w:r>
          </w:p>
        </w:tc>
        <w:tc>
          <w:tcPr>
            <w:tcW w:w="3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Deficit)</w:t>
            </w:r>
          </w:p>
        </w:tc>
        <w:tc>
          <w:tcPr>
            <w:tcW w:w="3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(Deficit)</w:t>
            </w:r>
          </w:p>
        </w:tc>
        <w:tc>
          <w:tcPr>
            <w:tcW w:w="1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Interests</w:t>
            </w:r>
          </w:p>
        </w:tc>
        <w:tc>
          <w:tcPr>
            <w:tcW w:w="18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Equity</w:t>
            </w:r>
          </w:p>
        </w:tc>
      </w:tr>
      <w:tr>
        <w:trPr>
          <w:trHeight w:val="198"/>
        </w:trPr>
        <w:tc>
          <w:tcPr>
            <w:tcW w:w="12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w:t>
            </w: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December</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1"/>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31, 2020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321,805,961</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$ 105,981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190,397,142</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84,945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88,145</w:t>
            </w:r>
          </w:p>
        </w:tc>
      </w:tr>
      <w:tr>
        <w:trPr>
          <w:trHeight w:val="202"/>
        </w:trPr>
        <w:tc>
          <w:tcPr>
            <w:tcW w:w="120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Issuance of</w:t>
            </w: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rPr>
              <w:t>Series 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rPr>
              <w:t>convertible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rPr>
              <w:t>preferred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w w:val="95"/>
              </w:rPr>
              <w:t>shares, net of</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rPr>
              <w:t>issuance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200" w:type="dxa"/>
            <w:vAlign w:val="bottom"/>
          </w:tcPr>
          <w:p>
            <w:pPr>
              <w:ind w:left="140"/>
              <w:spacing w:after="0"/>
              <w:rPr>
                <w:sz w:val="20"/>
                <w:szCs w:val="20"/>
                <w:color w:val="auto"/>
              </w:rPr>
            </w:pPr>
            <w:r>
              <w:rPr>
                <w:rFonts w:ascii="Arial" w:cs="Arial" w:eastAsia="Arial" w:hAnsi="Arial"/>
                <w:sz w:val="18"/>
                <w:szCs w:val="18"/>
                <w:color w:val="auto"/>
              </w:rPr>
              <w:t>costs of $11</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45,853,065</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36,639</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1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Series 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convertible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shares, net of</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costs of $158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35,006,986</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136,006</w:t>
            </w:r>
          </w:p>
        </w:tc>
        <w:tc>
          <w:tcPr>
            <w:tcW w:w="9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120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rPr>
              <w:t>Preferred 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rPr>
              <w:t>shares upon</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rPr>
              <w:t>exercise of</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200" w:type="dxa"/>
            <w:vAlign w:val="bottom"/>
          </w:tcPr>
          <w:p>
            <w:pPr>
              <w:ind w:left="140"/>
              <w:spacing w:after="0"/>
              <w:rPr>
                <w:sz w:val="20"/>
                <w:szCs w:val="20"/>
                <w:color w:val="auto"/>
              </w:rPr>
            </w:pPr>
            <w:r>
              <w:rPr>
                <w:rFonts w:ascii="Arial" w:cs="Arial" w:eastAsia="Arial" w:hAnsi="Arial"/>
                <w:sz w:val="18"/>
                <w:szCs w:val="18"/>
                <w:color w:val="auto"/>
              </w:rPr>
              <w:t>warrants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1,000,616</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6,009</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1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ordinary</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upon</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 of</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share options</w:t>
            </w: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3,517,011</w:t>
            </w: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w:t>
            </w:r>
          </w:p>
        </w:tc>
      </w:tr>
      <w:tr>
        <w:trPr>
          <w:trHeight w:val="202"/>
        </w:trPr>
        <w:tc>
          <w:tcPr>
            <w:tcW w:w="1200" w:type="dxa"/>
            <w:vAlign w:val="bottom"/>
          </w:tcPr>
          <w:p>
            <w:pPr>
              <w:spacing w:after="0" w:line="201" w:lineRule="exact"/>
              <w:rPr>
                <w:sz w:val="20"/>
                <w:szCs w:val="20"/>
                <w:color w:val="auto"/>
              </w:rPr>
            </w:pPr>
            <w:r>
              <w:rPr>
                <w:rFonts w:ascii="Arial" w:cs="Arial" w:eastAsia="Arial" w:hAnsi="Arial"/>
                <w:sz w:val="18"/>
                <w:szCs w:val="18"/>
                <w:color w:val="auto"/>
              </w:rPr>
              <w:t>Share-based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200" w:type="dxa"/>
            <w:vAlign w:val="bottom"/>
          </w:tcPr>
          <w:p>
            <w:pPr>
              <w:ind w:left="140"/>
              <w:spacing w:after="0"/>
              <w:rPr>
                <w:sz w:val="20"/>
                <w:szCs w:val="20"/>
                <w:color w:val="auto"/>
              </w:rPr>
            </w:pPr>
            <w:r>
              <w:rPr>
                <w:rFonts w:ascii="Arial" w:cs="Arial" w:eastAsia="Arial" w:hAnsi="Arial"/>
                <w:sz w:val="18"/>
                <w:szCs w:val="18"/>
                <w:color w:val="auto"/>
                <w:w w:val="92"/>
              </w:rPr>
              <w:t>compensation</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62,974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62,974</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62,974</w:t>
            </w:r>
          </w:p>
        </w:tc>
      </w:tr>
      <w:tr>
        <w:trPr>
          <w:trHeight w:val="202"/>
        </w:trPr>
        <w:tc>
          <w:tcPr>
            <w:tcW w:w="1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Deemed</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contribution</w:t>
            </w: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23,612</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23,612</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23,612</w:t>
            </w:r>
          </w:p>
        </w:tc>
      </w:tr>
      <w:tr>
        <w:trPr>
          <w:trHeight w:val="202"/>
        </w:trPr>
        <w:tc>
          <w:tcPr>
            <w:tcW w:w="1200" w:type="dxa"/>
            <w:vAlign w:val="bottom"/>
          </w:tcPr>
          <w:p>
            <w:pPr>
              <w:spacing w:after="0" w:line="201" w:lineRule="exact"/>
              <w:rPr>
                <w:sz w:val="20"/>
                <w:szCs w:val="20"/>
                <w:color w:val="auto"/>
              </w:rPr>
            </w:pPr>
            <w:r>
              <w:rPr>
                <w:rFonts w:ascii="Arial" w:cs="Arial" w:eastAsia="Arial" w:hAnsi="Arial"/>
                <w:sz w:val="18"/>
                <w:szCs w:val="18"/>
                <w:color w:val="auto"/>
              </w:rPr>
              <w:t>Deemed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rPr>
              <w:t>dividend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200" w:type="dxa"/>
            <w:vAlign w:val="bottom"/>
          </w:tcPr>
          <w:p>
            <w:pPr>
              <w:ind w:left="140"/>
              <w:spacing w:after="0"/>
              <w:rPr>
                <w:sz w:val="20"/>
                <w:szCs w:val="20"/>
                <w:color w:val="auto"/>
              </w:rPr>
            </w:pPr>
            <w:r>
              <w:rPr>
                <w:rFonts w:ascii="Arial" w:cs="Arial" w:eastAsia="Arial" w:hAnsi="Arial"/>
                <w:sz w:val="18"/>
                <w:szCs w:val="18"/>
                <w:color w:val="auto"/>
              </w:rPr>
              <w:t>distribution</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(23,612)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(23,612)</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(23,612)</w:t>
            </w:r>
          </w:p>
        </w:tc>
      </w:tr>
      <w:tr>
        <w:trPr>
          <w:trHeight w:val="202"/>
        </w:trPr>
        <w:tc>
          <w:tcPr>
            <w:tcW w:w="1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ordinary</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warrants</w:t>
            </w: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20,807</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20,807</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20,807</w:t>
            </w:r>
          </w:p>
        </w:tc>
      </w:tr>
      <w:tr>
        <w:trPr>
          <w:trHeight w:val="202"/>
        </w:trPr>
        <w:tc>
          <w:tcPr>
            <w:tcW w:w="1200" w:type="dxa"/>
            <w:vAlign w:val="bottom"/>
          </w:tcPr>
          <w:p>
            <w:pPr>
              <w:spacing w:after="0" w:line="201" w:lineRule="exact"/>
              <w:rPr>
                <w:sz w:val="20"/>
                <w:szCs w:val="20"/>
                <w:color w:val="auto"/>
              </w:rPr>
            </w:pPr>
            <w:r>
              <w:rPr>
                <w:rFonts w:ascii="Arial" w:cs="Arial" w:eastAsia="Arial" w:hAnsi="Arial"/>
                <w:sz w:val="18"/>
                <w:szCs w:val="18"/>
                <w:color w:val="auto"/>
              </w:rPr>
              <w:t>Contributions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w w:val="97"/>
              </w:rPr>
              <w:t>of interests in</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rPr>
              <w:t>consolidated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200" w:type="dxa"/>
            <w:vAlign w:val="bottom"/>
          </w:tcPr>
          <w:p>
            <w:pPr>
              <w:ind w:left="140"/>
              <w:spacing w:after="0"/>
              <w:rPr>
                <w:sz w:val="20"/>
                <w:szCs w:val="20"/>
                <w:color w:val="auto"/>
              </w:rPr>
            </w:pPr>
            <w:r>
              <w:rPr>
                <w:rFonts w:ascii="Arial" w:cs="Arial" w:eastAsia="Arial" w:hAnsi="Arial"/>
                <w:sz w:val="18"/>
                <w:szCs w:val="18"/>
                <w:color w:val="auto"/>
              </w:rPr>
              <w:t>VIEs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129,970</w:t>
            </w:r>
          </w:p>
        </w:tc>
        <w:tc>
          <w:tcPr>
            <w:tcW w:w="1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129,970</w:t>
            </w:r>
          </w:p>
        </w:tc>
      </w:tr>
      <w:tr>
        <w:trPr>
          <w:trHeight w:val="202"/>
        </w:trPr>
        <w:tc>
          <w:tcPr>
            <w:tcW w:w="1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Return of</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capital to</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interests in</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VIEs</w:t>
            </w: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(54,457)</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(54,457)</w:t>
            </w:r>
          </w:p>
        </w:tc>
      </w:tr>
      <w:tr>
        <w:trPr>
          <w:trHeight w:val="202"/>
        </w:trPr>
        <w:tc>
          <w:tcPr>
            <w:tcW w:w="1200" w:type="dxa"/>
            <w:vAlign w:val="bottom"/>
          </w:tcPr>
          <w:p>
            <w:pPr>
              <w:spacing w:after="0" w:line="201" w:lineRule="exact"/>
              <w:rPr>
                <w:sz w:val="20"/>
                <w:szCs w:val="20"/>
                <w:color w:val="auto"/>
              </w:rPr>
            </w:pPr>
            <w:r>
              <w:rPr>
                <w:rFonts w:ascii="Arial" w:cs="Arial" w:eastAsia="Arial" w:hAnsi="Arial"/>
                <w:sz w:val="18"/>
                <w:szCs w:val="18"/>
                <w:color w:val="auto"/>
              </w:rPr>
              <w:t>Net income</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7"/>
        </w:trPr>
        <w:tc>
          <w:tcPr>
            <w:tcW w:w="1200" w:type="dxa"/>
            <w:vAlign w:val="bottom"/>
          </w:tcPr>
          <w:p>
            <w:pPr>
              <w:ind w:left="140"/>
              <w:spacing w:after="0"/>
              <w:rPr>
                <w:sz w:val="20"/>
                <w:szCs w:val="20"/>
                <w:color w:val="auto"/>
              </w:rPr>
            </w:pPr>
            <w:r>
              <w:rPr>
                <w:rFonts w:ascii="Arial" w:cs="Arial" w:eastAsia="Arial" w:hAnsi="Arial"/>
                <w:sz w:val="18"/>
                <w:szCs w:val="18"/>
                <w:color w:val="auto"/>
              </w:rPr>
              <w:t>(loss)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(80,695)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(80,695)</w:t>
            </w:r>
          </w:p>
        </w:tc>
        <w:tc>
          <w:tcPr>
            <w:tcW w:w="1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14,116</w:t>
            </w:r>
          </w:p>
        </w:tc>
        <w:tc>
          <w:tcPr>
            <w:tcW w:w="1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(66,579)</w:t>
            </w:r>
          </w:p>
        </w:tc>
      </w:tr>
      <w:tr>
        <w:trPr>
          <w:trHeight w:val="198"/>
        </w:trPr>
        <w:tc>
          <w:tcPr>
            <w:tcW w:w="12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 </w:t>
            </w: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September</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75"/>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30, 2021</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403,666,628</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$ 284,635</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193,914,153</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107,879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(101,422)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6,457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174,574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181,031</w:t>
            </w:r>
          </w:p>
        </w:tc>
      </w:tr>
      <w:tr>
        <w:trPr>
          <w:trHeight w:val="419"/>
        </w:trPr>
        <w:tc>
          <w:tcPr>
            <w:tcW w:w="1200" w:type="dxa"/>
            <w:vAlign w:val="bottom"/>
            <w:tcBorders>
              <w:top w:val="single" w:sz="8" w:color="CCEEFF"/>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130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88"/>
              </w:rPr>
              <w:t>Redeemable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300" w:type="dxa"/>
            <w:vAlign w:val="bottom"/>
            <w:gridSpan w:val="3"/>
          </w:tcPr>
          <w:p>
            <w:pPr>
              <w:jc w:val="center"/>
              <w:ind w:left="150"/>
              <w:spacing w:after="0"/>
              <w:rPr>
                <w:sz w:val="20"/>
                <w:szCs w:val="20"/>
                <w:color w:val="auto"/>
              </w:rPr>
            </w:pPr>
            <w:r>
              <w:rPr>
                <w:rFonts w:ascii="Arial" w:cs="Arial" w:eastAsia="Arial" w:hAnsi="Arial"/>
                <w:sz w:val="18"/>
                <w:szCs w:val="18"/>
                <w:b w:val="1"/>
                <w:bCs w:val="1"/>
                <w:color w:val="auto"/>
                <w:w w:val="90"/>
              </w:rPr>
              <w:t>Convertible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200" w:type="dxa"/>
            <w:vAlign w:val="bottom"/>
          </w:tcPr>
          <w:p>
            <w:pPr>
              <w:spacing w:after="0"/>
              <w:rPr>
                <w:sz w:val="20"/>
                <w:szCs w:val="20"/>
                <w:color w:val="auto"/>
              </w:rPr>
            </w:pPr>
          </w:p>
        </w:tc>
        <w:tc>
          <w:tcPr>
            <w:tcW w:w="170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9"/>
              </w:rPr>
              <w:t>Preferred Shares</w:t>
            </w:r>
          </w:p>
        </w:tc>
        <w:tc>
          <w:tcPr>
            <w:tcW w:w="174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Ordinary Shares</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2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3"/>
          </w:tcPr>
          <w:p>
            <w:pPr>
              <w:jc w:val="center"/>
              <w:ind w:right="180"/>
              <w:spacing w:after="0" w:line="198" w:lineRule="exact"/>
              <w:rPr>
                <w:sz w:val="20"/>
                <w:szCs w:val="20"/>
                <w:color w:val="auto"/>
              </w:rPr>
            </w:pPr>
            <w:r>
              <w:rPr>
                <w:rFonts w:ascii="Arial" w:cs="Arial" w:eastAsia="Arial" w:hAnsi="Arial"/>
                <w:sz w:val="18"/>
                <w:szCs w:val="18"/>
                <w:b w:val="1"/>
                <w:bCs w:val="1"/>
                <w:color w:val="auto"/>
                <w:w w:val="90"/>
              </w:rPr>
              <w:t>Total Pagaya</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4"/>
              </w:rPr>
              <w:t>Technologies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Retained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Ltd.</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b w:val="1"/>
                <w:bCs w:val="1"/>
                <w:color w:val="auto"/>
              </w:rPr>
              <w:t>Additional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Earnings</w:t>
            </w:r>
          </w:p>
        </w:tc>
        <w:tc>
          <w:tcPr>
            <w:tcW w:w="120" w:type="dxa"/>
            <w:vAlign w:val="bottom"/>
          </w:tcPr>
          <w:p>
            <w:pPr>
              <w:spacing w:after="0"/>
              <w:rPr>
                <w:sz w:val="18"/>
                <w:szCs w:val="18"/>
                <w:color w:val="auto"/>
              </w:rPr>
            </w:pPr>
          </w:p>
        </w:tc>
        <w:tc>
          <w:tcPr>
            <w:tcW w:w="12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Shareholders’</w:t>
            </w: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Non-</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r>
      <w:tr>
        <w:trPr>
          <w:trHeight w:val="216"/>
        </w:trPr>
        <w:tc>
          <w:tcPr>
            <w:tcW w:w="1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6"/>
              </w:rPr>
              <w:t>Paid-In</w:t>
            </w:r>
          </w:p>
        </w:tc>
        <w:tc>
          <w:tcPr>
            <w:tcW w:w="220" w:type="dxa"/>
            <w:vAlign w:val="bottom"/>
          </w:tcPr>
          <w:p>
            <w:pPr>
              <w:spacing w:after="0"/>
              <w:rPr>
                <w:sz w:val="18"/>
                <w:szCs w:val="18"/>
                <w:color w:val="auto"/>
              </w:rPr>
            </w:pPr>
          </w:p>
        </w:tc>
        <w:tc>
          <w:tcPr>
            <w:tcW w:w="12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Equity</w:t>
            </w: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Controlling</w:t>
            </w:r>
          </w:p>
        </w:tc>
        <w:tc>
          <w:tcPr>
            <w:tcW w:w="6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w w:val="96"/>
              </w:rPr>
              <w:t>Shareholders’</w:t>
            </w:r>
          </w:p>
        </w:tc>
      </w:tr>
      <w:tr>
        <w:trPr>
          <w:trHeight w:val="241"/>
        </w:trPr>
        <w:tc>
          <w:tcPr>
            <w:tcW w:w="1200" w:type="dxa"/>
            <w:vAlign w:val="bottom"/>
          </w:tcPr>
          <w:p>
            <w:pPr>
              <w:spacing w:after="0"/>
              <w:rPr>
                <w:sz w:val="20"/>
                <w:szCs w:val="20"/>
                <w:color w:val="auto"/>
              </w:rPr>
            </w:pPr>
          </w:p>
        </w:tc>
        <w:tc>
          <w:tcPr>
            <w:tcW w:w="540" w:type="dxa"/>
            <w:vAlign w:val="bottom"/>
          </w:tcPr>
          <w:p>
            <w:pPr>
              <w:ind w:left="20"/>
              <w:spacing w:after="0"/>
              <w:rPr>
                <w:sz w:val="20"/>
                <w:szCs w:val="20"/>
                <w:color w:val="auto"/>
              </w:rPr>
            </w:pPr>
            <w:r>
              <w:rPr>
                <w:rFonts w:ascii="Arial" w:cs="Arial" w:eastAsia="Arial" w:hAnsi="Arial"/>
                <w:sz w:val="18"/>
                <w:szCs w:val="18"/>
                <w:b w:val="1"/>
                <w:bCs w:val="1"/>
                <w:color w:val="auto"/>
                <w:w w:val="83"/>
              </w:rPr>
              <w:t>Shares</w:t>
            </w:r>
          </w:p>
        </w:tc>
        <w:tc>
          <w:tcPr>
            <w:tcW w:w="1160" w:type="dxa"/>
            <w:vAlign w:val="bottom"/>
            <w:gridSpan w:val="4"/>
          </w:tcPr>
          <w:p>
            <w:pPr>
              <w:ind w:left="120"/>
              <w:spacing w:after="0"/>
              <w:rPr>
                <w:sz w:val="20"/>
                <w:szCs w:val="20"/>
                <w:color w:val="auto"/>
              </w:rPr>
            </w:pPr>
            <w:r>
              <w:rPr>
                <w:rFonts w:ascii="Arial" w:cs="Arial" w:eastAsia="Arial" w:hAnsi="Arial"/>
                <w:sz w:val="18"/>
                <w:szCs w:val="18"/>
                <w:b w:val="1"/>
                <w:bCs w:val="1"/>
                <w:color w:val="auto"/>
              </w:rPr>
              <w:t>​  Amount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Shares(1)</w:t>
            </w:r>
          </w:p>
        </w:tc>
        <w:tc>
          <w:tcPr>
            <w:tcW w:w="1040" w:type="dxa"/>
            <w:vAlign w:val="bottom"/>
            <w:gridSpan w:val="4"/>
          </w:tcPr>
          <w:p>
            <w:pPr>
              <w:ind w:left="60"/>
              <w:spacing w:after="0"/>
              <w:rPr>
                <w:sz w:val="20"/>
                <w:szCs w:val="20"/>
                <w:color w:val="auto"/>
              </w:rPr>
            </w:pPr>
            <w:r>
              <w:rPr>
                <w:rFonts w:ascii="Arial" w:cs="Arial" w:eastAsia="Arial" w:hAnsi="Arial"/>
                <w:sz w:val="18"/>
                <w:szCs w:val="18"/>
                <w:b w:val="1"/>
                <w:bCs w:val="1"/>
                <w:color w:val="auto"/>
              </w:rPr>
              <w:t>​  Amount</w:t>
            </w:r>
          </w:p>
        </w:tc>
        <w:tc>
          <w:tcPr>
            <w:tcW w:w="32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6"/>
              </w:rPr>
              <w:t>Capital</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Deficit)(2)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(Deficit)</w:t>
            </w: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7"/>
              </w:rPr>
              <w:t>Interests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Equity</w:t>
            </w:r>
          </w:p>
        </w:tc>
      </w:tr>
      <w:tr>
        <w:trPr>
          <w:trHeight w:val="198"/>
        </w:trPr>
        <w:tc>
          <w:tcPr>
            <w:tcW w:w="12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w:t>
            </w:r>
          </w:p>
        </w:tc>
        <w:tc>
          <w:tcPr>
            <w:tcW w:w="5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June 30,</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1"/>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2022</w:t>
            </w:r>
          </w:p>
        </w:tc>
        <w:tc>
          <w:tcPr>
            <w:tcW w:w="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w:t>
            </w: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653,914,376</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878,255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(305,412)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572,843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172,193</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745,036</w:t>
            </w:r>
          </w:p>
        </w:tc>
      </w:tr>
      <w:tr>
        <w:trPr>
          <w:trHeight w:val="202"/>
        </w:trPr>
        <w:tc>
          <w:tcPr>
            <w:tcW w:w="120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Issuance of</w:t>
            </w:r>
          </w:p>
        </w:tc>
        <w:tc>
          <w:tcPr>
            <w:tcW w:w="5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rPr>
              <w:t>ordinary</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rPr>
              <w:t>shares upon</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rPr>
              <w:t>exercise of</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200" w:type="dxa"/>
            <w:vAlign w:val="bottom"/>
          </w:tcPr>
          <w:p>
            <w:pPr>
              <w:ind w:left="140"/>
              <w:spacing w:after="0"/>
              <w:rPr>
                <w:sz w:val="20"/>
                <w:szCs w:val="20"/>
                <w:color w:val="auto"/>
              </w:rPr>
            </w:pPr>
            <w:r>
              <w:rPr>
                <w:rFonts w:ascii="Arial" w:cs="Arial" w:eastAsia="Arial" w:hAnsi="Arial"/>
                <w:sz w:val="18"/>
                <w:szCs w:val="18"/>
                <w:color w:val="auto"/>
              </w:rPr>
              <w:t>warrants</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21,170,017</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1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ordinary</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upon</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 of</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share options</w:t>
            </w: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5,573,732</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1,034</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w:t>
            </w:r>
          </w:p>
        </w:tc>
      </w:tr>
      <w:tr>
        <w:trPr>
          <w:trHeight w:val="202"/>
        </w:trPr>
        <w:tc>
          <w:tcPr>
            <w:tcW w:w="120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rPr>
              <w:t>ordinary</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rPr>
              <w:t>shares upon</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rPr>
              <w:t>vesting of</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200" w:type="dxa"/>
            <w:vAlign w:val="bottom"/>
          </w:tcPr>
          <w:p>
            <w:pPr>
              <w:ind w:left="140"/>
              <w:spacing w:after="0"/>
              <w:rPr>
                <w:sz w:val="20"/>
                <w:szCs w:val="20"/>
                <w:color w:val="auto"/>
              </w:rPr>
            </w:pPr>
            <w:r>
              <w:rPr>
                <w:rFonts w:ascii="Arial" w:cs="Arial" w:eastAsia="Arial" w:hAnsi="Arial"/>
                <w:sz w:val="18"/>
                <w:szCs w:val="18"/>
                <w:color w:val="auto"/>
              </w:rPr>
              <w:t>RSUs</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91,655</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1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ordinary</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1"/>
              </w:rPr>
              <w:t>shares related</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commitment</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w:t>
            </w: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46,536</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02"/>
        </w:trPr>
        <w:tc>
          <w:tcPr>
            <w:tcW w:w="1200" w:type="dxa"/>
            <w:vAlign w:val="bottom"/>
          </w:tcPr>
          <w:p>
            <w:pPr>
              <w:spacing w:after="0" w:line="201" w:lineRule="exact"/>
              <w:rPr>
                <w:sz w:val="20"/>
                <w:szCs w:val="20"/>
                <w:color w:val="auto"/>
              </w:rPr>
            </w:pPr>
            <w:r>
              <w:rPr>
                <w:rFonts w:ascii="Arial" w:cs="Arial" w:eastAsia="Arial" w:hAnsi="Arial"/>
                <w:sz w:val="18"/>
                <w:szCs w:val="18"/>
                <w:color w:val="auto"/>
              </w:rPr>
              <w:t>Share-based</w:t>
            </w: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200" w:type="dxa"/>
            <w:vAlign w:val="bottom"/>
          </w:tcPr>
          <w:p>
            <w:pPr>
              <w:ind w:left="140"/>
              <w:spacing w:after="0"/>
              <w:rPr>
                <w:sz w:val="20"/>
                <w:szCs w:val="20"/>
                <w:color w:val="auto"/>
              </w:rPr>
            </w:pPr>
            <w:r>
              <w:rPr>
                <w:rFonts w:ascii="Arial" w:cs="Arial" w:eastAsia="Arial" w:hAnsi="Arial"/>
                <w:sz w:val="18"/>
                <w:szCs w:val="18"/>
                <w:color w:val="auto"/>
                <w:w w:val="92"/>
              </w:rPr>
              <w:t>compensation</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67,092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67,092</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67,092</w:t>
            </w:r>
          </w:p>
        </w:tc>
      </w:tr>
      <w:tr>
        <w:trPr>
          <w:trHeight w:val="202"/>
        </w:trPr>
        <w:tc>
          <w:tcPr>
            <w:tcW w:w="1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Contributions</w:t>
            </w: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of interests in</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VIEs</w:t>
            </w: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63,466</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63,466</w:t>
            </w:r>
          </w:p>
        </w:tc>
      </w:tr>
      <w:tr>
        <w:trPr>
          <w:trHeight w:val="202"/>
        </w:trPr>
        <w:tc>
          <w:tcPr>
            <w:tcW w:w="1200" w:type="dxa"/>
            <w:vAlign w:val="bottom"/>
          </w:tcPr>
          <w:p>
            <w:pPr>
              <w:spacing w:after="0" w:line="201" w:lineRule="exact"/>
              <w:rPr>
                <w:sz w:val="20"/>
                <w:szCs w:val="20"/>
                <w:color w:val="auto"/>
              </w:rPr>
            </w:pPr>
            <w:r>
              <w:rPr>
                <w:rFonts w:ascii="Arial" w:cs="Arial" w:eastAsia="Arial" w:hAnsi="Arial"/>
                <w:sz w:val="18"/>
                <w:szCs w:val="18"/>
                <w:color w:val="auto"/>
              </w:rPr>
              <w:t>Return of</w:t>
            </w: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rPr>
              <w:t>capital to</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rPr>
              <w:t>interests in</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color w:val="auto"/>
              </w:rPr>
              <w:t>consolidated</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200" w:type="dxa"/>
            <w:vAlign w:val="bottom"/>
          </w:tcPr>
          <w:p>
            <w:pPr>
              <w:ind w:left="140"/>
              <w:spacing w:after="0"/>
              <w:rPr>
                <w:sz w:val="20"/>
                <w:szCs w:val="20"/>
                <w:color w:val="auto"/>
              </w:rPr>
            </w:pPr>
            <w:r>
              <w:rPr>
                <w:rFonts w:ascii="Arial" w:cs="Arial" w:eastAsia="Arial" w:hAnsi="Arial"/>
                <w:sz w:val="18"/>
                <w:szCs w:val="18"/>
                <w:color w:val="auto"/>
              </w:rPr>
              <w:t>VIEs</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(16,894)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(16,894)</w:t>
            </w:r>
          </w:p>
        </w:tc>
      </w:tr>
      <w:tr>
        <w:trPr>
          <w:trHeight w:val="202"/>
        </w:trPr>
        <w:tc>
          <w:tcPr>
            <w:tcW w:w="1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w:t>
            </w: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(74,789)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(74,789)</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7,785</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(67,004)</w:t>
            </w:r>
          </w:p>
        </w:tc>
      </w:tr>
      <w:tr>
        <w:trPr>
          <w:trHeight w:val="198"/>
        </w:trPr>
        <w:tc>
          <w:tcPr>
            <w:tcW w:w="1200" w:type="dxa"/>
            <w:vAlign w:val="bottom"/>
            <w:tcBorders>
              <w:top w:val="single" w:sz="8" w:color="CCEEFF"/>
            </w:tcBorders>
          </w:tcPr>
          <w:p>
            <w:pPr>
              <w:spacing w:after="0" w:line="198" w:lineRule="exact"/>
              <w:rPr>
                <w:sz w:val="20"/>
                <w:szCs w:val="20"/>
                <w:color w:val="auto"/>
              </w:rPr>
            </w:pPr>
            <w:r>
              <w:rPr>
                <w:rFonts w:ascii="Arial" w:cs="Arial" w:eastAsia="Arial" w:hAnsi="Arial"/>
                <w:sz w:val="18"/>
                <w:szCs w:val="18"/>
                <w:b w:val="1"/>
                <w:bCs w:val="1"/>
                <w:color w:val="auto"/>
              </w:rPr>
              <w:t>Balance – </w:t>
            </w:r>
          </w:p>
        </w:tc>
        <w:tc>
          <w:tcPr>
            <w:tcW w:w="5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1200" w:type="dxa"/>
            <w:vAlign w:val="bottom"/>
          </w:tcPr>
          <w:p>
            <w:pPr>
              <w:ind w:left="140"/>
              <w:spacing w:after="0"/>
              <w:rPr>
                <w:sz w:val="20"/>
                <w:szCs w:val="20"/>
                <w:color w:val="auto"/>
              </w:rPr>
            </w:pPr>
            <w:r>
              <w:rPr>
                <w:rFonts w:ascii="Arial" w:cs="Arial" w:eastAsia="Arial" w:hAnsi="Arial"/>
                <w:sz w:val="18"/>
                <w:szCs w:val="18"/>
                <w:b w:val="1"/>
                <w:bCs w:val="1"/>
                <w:color w:val="auto"/>
              </w:rPr>
              <w:t>September</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00" w:type="dxa"/>
            <w:vAlign w:val="bottom"/>
          </w:tcPr>
          <w:p>
            <w:pPr>
              <w:ind w:left="140"/>
              <w:spacing w:after="0"/>
              <w:rPr>
                <w:sz w:val="20"/>
                <w:szCs w:val="20"/>
                <w:color w:val="auto"/>
              </w:rPr>
            </w:pPr>
            <w:r>
              <w:rPr>
                <w:rFonts w:ascii="Arial" w:cs="Arial" w:eastAsia="Arial" w:hAnsi="Arial"/>
                <w:sz w:val="18"/>
                <w:szCs w:val="18"/>
                <w:b w:val="1"/>
                <w:bCs w:val="1"/>
                <w:color w:val="auto"/>
              </w:rPr>
              <w:t>30, 2022</w:t>
            </w:r>
          </w:p>
        </w:tc>
        <w:tc>
          <w:tcPr>
            <w:tcW w:w="540" w:type="dxa"/>
            <w:vAlign w:val="bottom"/>
          </w:tcPr>
          <w:p>
            <w:pPr>
              <w:ind w:left="360"/>
              <w:spacing w:after="0"/>
              <w:rPr>
                <w:sz w:val="20"/>
                <w:szCs w:val="20"/>
                <w:color w:val="auto"/>
              </w:rPr>
            </w:pPr>
            <w:r>
              <w:rPr>
                <w:rFonts w:ascii="Arial" w:cs="Arial" w:eastAsia="Arial" w:hAnsi="Arial"/>
                <w:sz w:val="18"/>
                <w:szCs w:val="18"/>
                <w:color w:val="auto"/>
                <w:w w:val="88"/>
              </w:rPr>
              <w:t>—</w:t>
            </w: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680,796,316</w:t>
            </w: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947,381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(380,201)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567,180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226,550</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793,730</w:t>
            </w:r>
          </w:p>
        </w:tc>
      </w:tr>
      <w:tr>
        <w:trPr>
          <w:trHeight w:val="20"/>
        </w:trPr>
        <w:tc>
          <w:tcPr>
            <w:tcW w:w="1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1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206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w w:val="90"/>
              </w:rPr>
              <w:t>Redeemable Convertible</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1340" w:type="dxa"/>
            <w:vAlign w:val="bottom"/>
          </w:tcPr>
          <w:p>
            <w:pPr>
              <w:spacing w:after="0"/>
              <w:rPr>
                <w:sz w:val="20"/>
                <w:szCs w:val="20"/>
                <w:color w:val="auto"/>
              </w:rPr>
            </w:pPr>
          </w:p>
        </w:tc>
        <w:tc>
          <w:tcPr>
            <w:tcW w:w="206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rPr>
              <w:t>Preferred Shares</w:t>
            </w:r>
          </w:p>
        </w:tc>
        <w:tc>
          <w:tcPr>
            <w:tcW w:w="160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Ordinary Shares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134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3"/>
          </w:tcPr>
          <w:p>
            <w:pPr>
              <w:jc w:val="center"/>
              <w:ind w:right="100"/>
              <w:spacing w:after="0" w:line="198" w:lineRule="exact"/>
              <w:rPr>
                <w:sz w:val="20"/>
                <w:szCs w:val="20"/>
                <w:color w:val="auto"/>
              </w:rPr>
            </w:pPr>
            <w:r>
              <w:rPr>
                <w:rFonts w:ascii="Arial" w:cs="Arial" w:eastAsia="Arial" w:hAnsi="Arial"/>
                <w:sz w:val="18"/>
                <w:szCs w:val="18"/>
                <w:b w:val="1"/>
                <w:bCs w:val="1"/>
                <w:color w:val="auto"/>
                <w:w w:val="90"/>
              </w:rPr>
              <w:t>Total Pagaya</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4"/>
              </w:rPr>
              <w:t>Technologies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Retained</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Ltd.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Arial" w:cs="Arial" w:eastAsia="Arial" w:hAnsi="Arial"/>
                <w:sz w:val="18"/>
                <w:szCs w:val="18"/>
                <w:b w:val="1"/>
                <w:bCs w:val="1"/>
                <w:color w:val="auto"/>
              </w:rPr>
              <w:t>Additional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11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Shareholders’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Non-</w:t>
            </w:r>
          </w:p>
        </w:tc>
        <w:tc>
          <w:tcPr>
            <w:tcW w:w="18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r>
      <w:tr>
        <w:trPr>
          <w:trHeight w:val="216"/>
        </w:trPr>
        <w:tc>
          <w:tcPr>
            <w:tcW w:w="1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Paid-In</w:t>
            </w:r>
          </w:p>
        </w:tc>
        <w:tc>
          <w:tcPr>
            <w:tcW w:w="100" w:type="dxa"/>
            <w:vAlign w:val="bottom"/>
          </w:tcPr>
          <w:p>
            <w:pPr>
              <w:spacing w:after="0"/>
              <w:rPr>
                <w:sz w:val="18"/>
                <w:szCs w:val="18"/>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Equity</w:t>
            </w:r>
          </w:p>
        </w:tc>
        <w:tc>
          <w:tcPr>
            <w:tcW w:w="40" w:type="dxa"/>
            <w:vAlign w:val="bottom"/>
          </w:tcPr>
          <w:p>
            <w:pPr>
              <w:spacing w:after="0"/>
              <w:rPr>
                <w:sz w:val="18"/>
                <w:szCs w:val="18"/>
                <w:color w:val="auto"/>
              </w:rPr>
            </w:pP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Controlling</w:t>
            </w: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w w:val="94"/>
              </w:rPr>
              <w:t>Shareholders’</w:t>
            </w:r>
          </w:p>
        </w:tc>
      </w:tr>
      <w:tr>
        <w:trPr>
          <w:trHeight w:val="241"/>
        </w:trPr>
        <w:tc>
          <w:tcPr>
            <w:tcW w:w="134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Shares(1)</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9"/>
              </w:rPr>
              <w:t>Amount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Shares(1)</w:t>
            </w:r>
          </w:p>
        </w:tc>
        <w:tc>
          <w:tcPr>
            <w:tcW w:w="980" w:type="dxa"/>
            <w:vAlign w:val="bottom"/>
            <w:gridSpan w:val="4"/>
          </w:tcPr>
          <w:p>
            <w:pPr>
              <w:ind w:left="40"/>
              <w:spacing w:after="0"/>
              <w:rPr>
                <w:sz w:val="20"/>
                <w:szCs w:val="20"/>
                <w:color w:val="auto"/>
              </w:rPr>
            </w:pPr>
            <w:r>
              <w:rPr>
                <w:rFonts w:ascii="Arial" w:cs="Arial" w:eastAsia="Arial" w:hAnsi="Arial"/>
                <w:sz w:val="18"/>
                <w:szCs w:val="18"/>
                <w:b w:val="1"/>
                <w:bCs w:val="1"/>
                <w:color w:val="auto"/>
              </w:rPr>
              <w:t>​ Amount  ​</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Deficit)</w:t>
            </w:r>
          </w:p>
        </w:tc>
        <w:tc>
          <w:tcPr>
            <w:tcW w:w="14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(Deficit)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7"/>
              </w:rPr>
              <w:t>Interests</w:t>
            </w:r>
          </w:p>
        </w:tc>
        <w:tc>
          <w:tcPr>
            <w:tcW w:w="180" w:type="dxa"/>
            <w:vAlign w:val="bottom"/>
          </w:tcPr>
          <w:p>
            <w:pPr>
              <w:spacing w:after="0"/>
              <w:rPr>
                <w:sz w:val="20"/>
                <w:szCs w:val="20"/>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Equity</w:t>
            </w:r>
          </w:p>
        </w:tc>
      </w:tr>
      <w:tr>
        <w:trPr>
          <w:trHeight w:val="198"/>
        </w:trPr>
        <w:tc>
          <w:tcPr>
            <w:tcW w:w="13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w:t>
            </w: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3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December 31,</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1"/>
        </w:trPr>
        <w:tc>
          <w:tcPr>
            <w:tcW w:w="13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2021</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406,399,029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307,047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194,345,792</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113,170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(111,878)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1,292</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176,060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177,352</w:t>
            </w:r>
          </w:p>
        </w:tc>
      </w:tr>
      <w:tr>
        <w:trPr>
          <w:trHeight w:val="202"/>
        </w:trPr>
        <w:tc>
          <w:tcPr>
            <w:tcW w:w="134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rPr>
              <w:t>Issuance of</w:t>
            </w: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1340" w:type="dxa"/>
            <w:vAlign w:val="bottom"/>
          </w:tcPr>
          <w:p>
            <w:pPr>
              <w:ind w:left="140"/>
              <w:spacing w:after="0"/>
              <w:rPr>
                <w:sz w:val="20"/>
                <w:szCs w:val="20"/>
                <w:color w:val="auto"/>
              </w:rPr>
            </w:pPr>
            <w:r>
              <w:rPr>
                <w:rFonts w:ascii="Arial" w:cs="Arial" w:eastAsia="Arial" w:hAnsi="Arial"/>
                <w:sz w:val="18"/>
                <w:szCs w:val="18"/>
                <w:color w:val="auto"/>
                <w:w w:val="95"/>
              </w:rPr>
              <w:t>ordinary shares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40" w:type="dxa"/>
            <w:vAlign w:val="bottom"/>
          </w:tcPr>
          <w:p>
            <w:pPr>
              <w:ind w:left="140"/>
              <w:spacing w:after="0"/>
              <w:rPr>
                <w:sz w:val="20"/>
                <w:szCs w:val="20"/>
                <w:color w:val="auto"/>
              </w:rPr>
            </w:pPr>
            <w:r>
              <w:rPr>
                <w:rFonts w:ascii="Arial" w:cs="Arial" w:eastAsia="Arial" w:hAnsi="Arial"/>
                <w:sz w:val="18"/>
                <w:szCs w:val="18"/>
                <w:color w:val="auto"/>
              </w:rPr>
              <w:t>upon exercise</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340" w:type="dxa"/>
            <w:vAlign w:val="bottom"/>
          </w:tcPr>
          <w:p>
            <w:pPr>
              <w:ind w:left="140"/>
              <w:spacing w:after="0"/>
              <w:rPr>
                <w:sz w:val="20"/>
                <w:szCs w:val="20"/>
                <w:color w:val="auto"/>
              </w:rPr>
            </w:pPr>
            <w:r>
              <w:rPr>
                <w:rFonts w:ascii="Arial" w:cs="Arial" w:eastAsia="Arial" w:hAnsi="Arial"/>
                <w:sz w:val="18"/>
                <w:szCs w:val="18"/>
                <w:color w:val="auto"/>
              </w:rPr>
              <w:t>of warrants</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21,170,017</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1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3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ordinary shares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upon exercise</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3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of share options</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15,606,239</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1,480</w:t>
            </w:r>
          </w:p>
        </w:tc>
      </w:tr>
      <w:tr>
        <w:trPr>
          <w:trHeight w:val="202"/>
        </w:trPr>
        <w:tc>
          <w:tcPr>
            <w:tcW w:w="134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340" w:type="dxa"/>
            <w:vAlign w:val="bottom"/>
          </w:tcPr>
          <w:p>
            <w:pPr>
              <w:ind w:left="140"/>
              <w:spacing w:after="0"/>
              <w:rPr>
                <w:sz w:val="20"/>
                <w:szCs w:val="20"/>
                <w:color w:val="auto"/>
              </w:rPr>
            </w:pPr>
            <w:r>
              <w:rPr>
                <w:rFonts w:ascii="Arial" w:cs="Arial" w:eastAsia="Arial" w:hAnsi="Arial"/>
                <w:sz w:val="18"/>
                <w:szCs w:val="18"/>
                <w:color w:val="auto"/>
                <w:w w:val="95"/>
              </w:rPr>
              <w:t>ordinary shares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40" w:type="dxa"/>
            <w:vAlign w:val="bottom"/>
          </w:tcPr>
          <w:p>
            <w:pPr>
              <w:ind w:left="140"/>
              <w:spacing w:after="0"/>
              <w:rPr>
                <w:sz w:val="20"/>
                <w:szCs w:val="20"/>
                <w:color w:val="auto"/>
              </w:rPr>
            </w:pPr>
            <w:r>
              <w:rPr>
                <w:rFonts w:ascii="Arial" w:cs="Arial" w:eastAsia="Arial" w:hAnsi="Arial"/>
                <w:sz w:val="18"/>
                <w:szCs w:val="18"/>
                <w:color w:val="auto"/>
                <w:w w:val="96"/>
              </w:rPr>
              <w:t>upon vesting of</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340" w:type="dxa"/>
            <w:vAlign w:val="bottom"/>
          </w:tcPr>
          <w:p>
            <w:pPr>
              <w:ind w:left="140"/>
              <w:spacing w:after="0"/>
              <w:rPr>
                <w:sz w:val="20"/>
                <w:szCs w:val="20"/>
                <w:color w:val="auto"/>
              </w:rPr>
            </w:pPr>
            <w:r>
              <w:rPr>
                <w:rFonts w:ascii="Arial" w:cs="Arial" w:eastAsia="Arial" w:hAnsi="Arial"/>
                <w:sz w:val="18"/>
                <w:szCs w:val="18"/>
                <w:color w:val="auto"/>
              </w:rPr>
              <w:t>RSUs</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96,326</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1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3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ordinary shares</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related to</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commitment</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46,536</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r>
      <w:tr>
        <w:trPr>
          <w:trHeight w:val="202"/>
        </w:trPr>
        <w:tc>
          <w:tcPr>
            <w:tcW w:w="134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340" w:type="dxa"/>
            <w:vAlign w:val="bottom"/>
          </w:tcPr>
          <w:p>
            <w:pPr>
              <w:ind w:left="140"/>
              <w:spacing w:after="0"/>
              <w:rPr>
                <w:sz w:val="20"/>
                <w:szCs w:val="20"/>
                <w:color w:val="auto"/>
              </w:rPr>
            </w:pPr>
            <w:r>
              <w:rPr>
                <w:rFonts w:ascii="Arial" w:cs="Arial" w:eastAsia="Arial" w:hAnsi="Arial"/>
                <w:sz w:val="18"/>
                <w:szCs w:val="18"/>
                <w:color w:val="auto"/>
                <w:w w:val="95"/>
              </w:rPr>
              <w:t>ordinary shares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40" w:type="dxa"/>
            <w:vAlign w:val="bottom"/>
          </w:tcPr>
          <w:p>
            <w:pPr>
              <w:ind w:left="140"/>
              <w:spacing w:after="0"/>
              <w:rPr>
                <w:sz w:val="20"/>
                <w:szCs w:val="20"/>
                <w:color w:val="auto"/>
              </w:rPr>
            </w:pPr>
            <w:r>
              <w:rPr>
                <w:rFonts w:ascii="Arial" w:cs="Arial" w:eastAsia="Arial" w:hAnsi="Arial"/>
                <w:sz w:val="18"/>
                <w:szCs w:val="18"/>
                <w:color w:val="auto"/>
              </w:rPr>
              <w:t>in connection</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40" w:type="dxa"/>
            <w:vAlign w:val="bottom"/>
          </w:tcPr>
          <w:p>
            <w:pPr>
              <w:ind w:left="140"/>
              <w:spacing w:after="0"/>
              <w:rPr>
                <w:sz w:val="20"/>
                <w:szCs w:val="20"/>
                <w:color w:val="auto"/>
              </w:rPr>
            </w:pPr>
            <w:r>
              <w:rPr>
                <w:rFonts w:ascii="Arial" w:cs="Arial" w:eastAsia="Arial" w:hAnsi="Arial"/>
                <w:sz w:val="18"/>
                <w:szCs w:val="18"/>
                <w:color w:val="auto"/>
              </w:rPr>
              <w:t>with the</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40" w:type="dxa"/>
            <w:vAlign w:val="bottom"/>
          </w:tcPr>
          <w:p>
            <w:pPr>
              <w:ind w:left="140"/>
              <w:spacing w:after="0"/>
              <w:rPr>
                <w:sz w:val="20"/>
                <w:szCs w:val="20"/>
                <w:color w:val="auto"/>
              </w:rPr>
            </w:pPr>
            <w:r>
              <w:rPr>
                <w:rFonts w:ascii="Arial" w:cs="Arial" w:eastAsia="Arial" w:hAnsi="Arial"/>
                <w:sz w:val="18"/>
                <w:szCs w:val="18"/>
                <w:color w:val="auto"/>
              </w:rPr>
              <w:t>Business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40" w:type="dxa"/>
            <w:vAlign w:val="bottom"/>
          </w:tcPr>
          <w:p>
            <w:pPr>
              <w:ind w:left="140"/>
              <w:spacing w:after="0"/>
              <w:rPr>
                <w:sz w:val="20"/>
                <w:szCs w:val="20"/>
                <w:color w:val="auto"/>
              </w:rPr>
            </w:pPr>
            <w:r>
              <w:rPr>
                <w:rFonts w:ascii="Arial" w:cs="Arial" w:eastAsia="Arial" w:hAnsi="Arial"/>
                <w:sz w:val="18"/>
                <w:szCs w:val="18"/>
                <w:color w:val="auto"/>
              </w:rPr>
              <w:t>Combination</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40" w:type="dxa"/>
            <w:vAlign w:val="bottom"/>
          </w:tcPr>
          <w:p>
            <w:pPr>
              <w:ind w:left="140"/>
              <w:spacing w:after="0"/>
              <w:rPr>
                <w:sz w:val="20"/>
                <w:szCs w:val="20"/>
                <w:color w:val="auto"/>
              </w:rPr>
            </w:pPr>
            <w:r>
              <w:rPr>
                <w:rFonts w:ascii="Arial" w:cs="Arial" w:eastAsia="Arial" w:hAnsi="Arial"/>
                <w:sz w:val="18"/>
                <w:szCs w:val="18"/>
                <w:color w:val="auto"/>
              </w:rPr>
              <w:t>and PIPE</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40" w:type="dxa"/>
            <w:vAlign w:val="bottom"/>
          </w:tcPr>
          <w:p>
            <w:pPr>
              <w:ind w:left="140"/>
              <w:spacing w:after="0"/>
              <w:rPr>
                <w:sz w:val="20"/>
                <w:szCs w:val="20"/>
                <w:color w:val="auto"/>
              </w:rPr>
            </w:pPr>
            <w:r>
              <w:rPr>
                <w:rFonts w:ascii="Arial" w:cs="Arial" w:eastAsia="Arial" w:hAnsi="Arial"/>
                <w:sz w:val="18"/>
                <w:szCs w:val="18"/>
                <w:color w:val="auto"/>
                <w:w w:val="95"/>
              </w:rPr>
              <w:t>Investment, net</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40" w:type="dxa"/>
            <w:vAlign w:val="bottom"/>
          </w:tcPr>
          <w:p>
            <w:pPr>
              <w:ind w:left="140"/>
              <w:spacing w:after="0"/>
              <w:rPr>
                <w:sz w:val="20"/>
                <w:szCs w:val="20"/>
                <w:color w:val="auto"/>
              </w:rPr>
            </w:pPr>
            <w:r>
              <w:rPr>
                <w:rFonts w:ascii="Arial" w:cs="Arial" w:eastAsia="Arial" w:hAnsi="Arial"/>
                <w:sz w:val="18"/>
                <w:szCs w:val="18"/>
                <w:color w:val="auto"/>
              </w:rPr>
              <w:t>of issuance</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40" w:type="dxa"/>
            <w:vAlign w:val="bottom"/>
          </w:tcPr>
          <w:p>
            <w:pPr>
              <w:ind w:left="140"/>
              <w:spacing w:after="0"/>
              <w:rPr>
                <w:sz w:val="20"/>
                <w:szCs w:val="20"/>
                <w:color w:val="auto"/>
              </w:rPr>
            </w:pPr>
            <w:r>
              <w:rPr>
                <w:rFonts w:ascii="Arial" w:cs="Arial" w:eastAsia="Arial" w:hAnsi="Arial"/>
                <w:sz w:val="18"/>
                <w:szCs w:val="18"/>
                <w:color w:val="auto"/>
              </w:rPr>
              <w:t>costs of</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340" w:type="dxa"/>
            <w:vAlign w:val="bottom"/>
          </w:tcPr>
          <w:p>
            <w:pPr>
              <w:ind w:left="140"/>
              <w:spacing w:after="0"/>
              <w:rPr>
                <w:sz w:val="20"/>
                <w:szCs w:val="20"/>
                <w:color w:val="auto"/>
              </w:rPr>
            </w:pPr>
            <w:r>
              <w:rPr>
                <w:rFonts w:ascii="Arial" w:cs="Arial" w:eastAsia="Arial" w:hAnsi="Arial"/>
                <w:sz w:val="18"/>
                <w:szCs w:val="18"/>
                <w:color w:val="auto"/>
              </w:rPr>
              <w:t>$57,400</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(406,399,029)</w:t>
            </w:r>
          </w:p>
        </w:tc>
        <w:tc>
          <w:tcPr>
            <w:tcW w:w="10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(307,047)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449,531,406</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581,359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581,359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581,359</w:t>
            </w:r>
          </w:p>
        </w:tc>
      </w:tr>
      <w:tr>
        <w:trPr>
          <w:trHeight w:val="202"/>
        </w:trPr>
        <w:tc>
          <w:tcPr>
            <w:tcW w:w="1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1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229,797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229,797</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229,797</w:t>
            </w:r>
          </w:p>
        </w:tc>
      </w:tr>
      <w:tr>
        <w:trPr>
          <w:trHeight w:val="202"/>
        </w:trPr>
        <w:tc>
          <w:tcPr>
            <w:tcW w:w="1340" w:type="dxa"/>
            <w:vAlign w:val="bottom"/>
          </w:tcPr>
          <w:p>
            <w:pPr>
              <w:spacing w:after="0" w:line="201" w:lineRule="exact"/>
              <w:rPr>
                <w:sz w:val="20"/>
                <w:szCs w:val="20"/>
                <w:color w:val="auto"/>
              </w:rPr>
            </w:pPr>
            <w:r>
              <w:rPr>
                <w:rFonts w:ascii="Arial" w:cs="Arial" w:eastAsia="Arial" w:hAnsi="Arial"/>
                <w:sz w:val="18"/>
                <w:szCs w:val="18"/>
                <w:color w:val="auto"/>
              </w:rPr>
              <w:t>Reclassification</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1340" w:type="dxa"/>
            <w:vAlign w:val="bottom"/>
          </w:tcPr>
          <w:p>
            <w:pPr>
              <w:ind w:left="140"/>
              <w:spacing w:after="0"/>
              <w:rPr>
                <w:sz w:val="20"/>
                <w:szCs w:val="20"/>
                <w:color w:val="auto"/>
              </w:rPr>
            </w:pPr>
            <w:r>
              <w:rPr>
                <w:rFonts w:ascii="Arial" w:cs="Arial" w:eastAsia="Arial" w:hAnsi="Arial"/>
                <w:sz w:val="18"/>
                <w:szCs w:val="18"/>
                <w:color w:val="auto"/>
              </w:rPr>
              <w:t>of warrants</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20,575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20,575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20,575</w:t>
            </w:r>
          </w:p>
        </w:tc>
      </w:tr>
      <w:tr>
        <w:trPr>
          <w:trHeight w:val="202"/>
        </w:trPr>
        <w:tc>
          <w:tcPr>
            <w:tcW w:w="1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Contributions of</w:t>
            </w: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interests in</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1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VIEs</w:t>
            </w: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92,988</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92,988</w:t>
            </w:r>
          </w:p>
        </w:tc>
      </w:tr>
      <w:tr>
        <w:trPr>
          <w:trHeight w:val="202"/>
        </w:trPr>
        <w:tc>
          <w:tcPr>
            <w:tcW w:w="1340" w:type="dxa"/>
            <w:vAlign w:val="bottom"/>
          </w:tcPr>
          <w:p>
            <w:pPr>
              <w:spacing w:after="0" w:line="201" w:lineRule="exact"/>
              <w:rPr>
                <w:sz w:val="20"/>
                <w:szCs w:val="20"/>
                <w:color w:val="auto"/>
              </w:rPr>
            </w:pPr>
            <w:r>
              <w:rPr>
                <w:rFonts w:ascii="Arial" w:cs="Arial" w:eastAsia="Arial" w:hAnsi="Arial"/>
                <w:sz w:val="18"/>
                <w:szCs w:val="18"/>
                <w:color w:val="auto"/>
              </w:rPr>
              <w:t>Return of capital</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340" w:type="dxa"/>
            <w:vAlign w:val="bottom"/>
          </w:tcPr>
          <w:p>
            <w:pPr>
              <w:ind w:left="140"/>
              <w:spacing w:after="0"/>
              <w:rPr>
                <w:sz w:val="20"/>
                <w:szCs w:val="20"/>
                <w:color w:val="auto"/>
              </w:rPr>
            </w:pPr>
            <w:r>
              <w:rPr>
                <w:rFonts w:ascii="Arial" w:cs="Arial" w:eastAsia="Arial" w:hAnsi="Arial"/>
                <w:sz w:val="18"/>
                <w:szCs w:val="18"/>
                <w:color w:val="auto"/>
              </w:rPr>
              <w:t>to interests in</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40" w:type="dxa"/>
            <w:vAlign w:val="bottom"/>
          </w:tcPr>
          <w:p>
            <w:pPr>
              <w:ind w:left="140"/>
              <w:spacing w:after="0"/>
              <w:rPr>
                <w:sz w:val="20"/>
                <w:szCs w:val="20"/>
                <w:color w:val="auto"/>
              </w:rPr>
            </w:pPr>
            <w:r>
              <w:rPr>
                <w:rFonts w:ascii="Arial" w:cs="Arial" w:eastAsia="Arial" w:hAnsi="Arial"/>
                <w:sz w:val="18"/>
                <w:szCs w:val="18"/>
                <w:color w:val="auto"/>
              </w:rPr>
              <w:t>consolidated</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340" w:type="dxa"/>
            <w:vAlign w:val="bottom"/>
          </w:tcPr>
          <w:p>
            <w:pPr>
              <w:ind w:left="140"/>
              <w:spacing w:after="0"/>
              <w:rPr>
                <w:sz w:val="20"/>
                <w:szCs w:val="20"/>
                <w:color w:val="auto"/>
              </w:rPr>
            </w:pPr>
            <w:r>
              <w:rPr>
                <w:rFonts w:ascii="Arial" w:cs="Arial" w:eastAsia="Arial" w:hAnsi="Arial"/>
                <w:sz w:val="18"/>
                <w:szCs w:val="18"/>
                <w:color w:val="auto"/>
              </w:rPr>
              <w:t>VIEs</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(70,255)</w:t>
            </w:r>
          </w:p>
        </w:tc>
        <w:tc>
          <w:tcPr>
            <w:tcW w:w="1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(70,255)</w:t>
            </w:r>
          </w:p>
        </w:tc>
      </w:tr>
      <w:tr>
        <w:trPr>
          <w:trHeight w:val="223"/>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w w:val="94"/>
              </w:rPr>
              <w:t>Net income (loss)</w:t>
            </w: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(268,323)</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(268,323)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27,757</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(240,566)</w:t>
            </w:r>
          </w:p>
        </w:tc>
      </w:tr>
      <w:tr>
        <w:trPr>
          <w:trHeight w:val="198"/>
        </w:trPr>
        <w:tc>
          <w:tcPr>
            <w:tcW w:w="1340" w:type="dxa"/>
            <w:vAlign w:val="bottom"/>
            <w:tcBorders>
              <w:top w:val="single" w:sz="8" w:color="CCEEFF"/>
            </w:tcBorders>
          </w:tcPr>
          <w:p>
            <w:pPr>
              <w:spacing w:after="0" w:line="198" w:lineRule="exact"/>
              <w:rPr>
                <w:sz w:val="20"/>
                <w:szCs w:val="20"/>
                <w:color w:val="auto"/>
              </w:rPr>
            </w:pPr>
            <w:r>
              <w:rPr>
                <w:rFonts w:ascii="Arial" w:cs="Arial" w:eastAsia="Arial" w:hAnsi="Arial"/>
                <w:sz w:val="18"/>
                <w:szCs w:val="18"/>
                <w:b w:val="1"/>
                <w:bCs w:val="1"/>
                <w:color w:val="auto"/>
              </w:rPr>
              <w:t>Balance – </w:t>
            </w: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1340" w:type="dxa"/>
            <w:vAlign w:val="bottom"/>
          </w:tcPr>
          <w:p>
            <w:pPr>
              <w:ind w:left="140"/>
              <w:spacing w:after="0"/>
              <w:rPr>
                <w:sz w:val="20"/>
                <w:szCs w:val="20"/>
                <w:color w:val="auto"/>
              </w:rPr>
            </w:pPr>
            <w:r>
              <w:rPr>
                <w:rFonts w:ascii="Arial" w:cs="Arial" w:eastAsia="Arial" w:hAnsi="Arial"/>
                <w:sz w:val="18"/>
                <w:szCs w:val="18"/>
                <w:b w:val="1"/>
                <w:bCs w:val="1"/>
                <w:color w:val="auto"/>
                <w:w w:val="95"/>
              </w:rPr>
              <w:t>September 30,</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340" w:type="dxa"/>
            <w:vAlign w:val="bottom"/>
          </w:tcPr>
          <w:p>
            <w:pPr>
              <w:ind w:left="140"/>
              <w:spacing w:after="0"/>
              <w:rPr>
                <w:sz w:val="20"/>
                <w:szCs w:val="20"/>
                <w:color w:val="auto"/>
              </w:rPr>
            </w:pPr>
            <w:r>
              <w:rPr>
                <w:rFonts w:ascii="Arial" w:cs="Arial" w:eastAsia="Arial" w:hAnsi="Arial"/>
                <w:sz w:val="18"/>
                <w:szCs w:val="18"/>
                <w:b w:val="1"/>
                <w:bCs w:val="1"/>
                <w:color w:val="auto"/>
              </w:rPr>
              <w:t>2022</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u w:val="single" w:color="auto"/>
                <w:color w:val="auto"/>
                <w:w w:val="93"/>
              </w:rPr>
              <w:t>680,796,316</w:t>
            </w:r>
          </w:p>
        </w:tc>
        <w:tc>
          <w:tcPr>
            <w:tcW w:w="5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40"/>
              <w:spacing w:after="0"/>
              <w:rPr>
                <w:sz w:val="20"/>
                <w:szCs w:val="20"/>
                <w:color w:val="auto"/>
              </w:rPr>
            </w:pPr>
            <w:r>
              <w:rPr>
                <w:rFonts w:ascii="Arial" w:cs="Arial" w:eastAsia="Arial" w:hAnsi="Arial"/>
                <w:sz w:val="18"/>
                <w:szCs w:val="18"/>
                <w:u w:val="single" w:color="auto"/>
                <w:color w:val="auto"/>
                <w:w w:val="9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rPr>
              <w:t>947,381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(380,201)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567,180</w:t>
            </w:r>
          </w:p>
        </w:tc>
        <w:tc>
          <w:tcPr>
            <w:tcW w:w="140" w:type="dxa"/>
            <w:vAlign w:val="bottom"/>
            <w:gridSpan w:val="2"/>
          </w:tcPr>
          <w:p>
            <w:pPr>
              <w:ind w:left="40"/>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rPr>
              <w:t>226,550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793,730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0</wp:posOffset>
            </wp:positionV>
            <wp:extent cx="12344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34440"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0</wp:posOffset>
            </wp:positionV>
            <wp:extent cx="4629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62915"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0</wp:posOffset>
            </wp:positionV>
            <wp:extent cx="29578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57830" cy="8890"/>
                    </a:xfrm>
                    <a:prstGeom prst="rect">
                      <a:avLst/>
                    </a:prstGeom>
                    <a:noFill/>
                  </pic:spPr>
                </pic:pic>
              </a:graphicData>
            </a:graphic>
          </wp:anchor>
        </w:drawing>
      </w:r>
    </w:p>
    <w:p>
      <w:pPr>
        <w:spacing w:after="0" w:line="1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21"/>
          <w:szCs w:val="21"/>
          <w:color w:val="auto"/>
        </w:rPr>
      </w:pPr>
      <w:r>
        <w:rPr>
          <w:rFonts w:ascii="Arial" w:cs="Arial" w:eastAsia="Arial" w:hAnsi="Arial"/>
          <w:sz w:val="21"/>
          <w:szCs w:val="21"/>
          <w:color w:val="auto"/>
        </w:rPr>
        <w:t>Prior period amounts have been retroactively adjusted to reflect the 1:186.9 stock split effected on June 22, 2022.</w:t>
      </w:r>
    </w:p>
    <w:p>
      <w:pPr>
        <w:spacing w:after="0" w:line="19" w:lineRule="exact"/>
        <w:rPr>
          <w:rFonts w:ascii="Arial" w:cs="Arial" w:eastAsia="Arial" w:hAnsi="Arial"/>
          <w:sz w:val="21"/>
          <w:szCs w:val="21"/>
          <w:color w:val="auto"/>
        </w:rPr>
      </w:pPr>
    </w:p>
    <w:p>
      <w:pPr>
        <w:ind w:right="20" w:firstLine="8"/>
        <w:spacing w:after="0" w:line="308" w:lineRule="auto"/>
        <w:tabs>
          <w:tab w:leader="none" w:pos="323" w:val="left"/>
        </w:tabs>
        <w:numPr>
          <w:ilvl w:val="0"/>
          <w:numId w:val="4"/>
        </w:numPr>
        <w:rPr>
          <w:rFonts w:ascii="Arial" w:cs="Arial" w:eastAsia="Arial" w:hAnsi="Arial"/>
          <w:sz w:val="19"/>
          <w:szCs w:val="19"/>
          <w:color w:val="auto"/>
        </w:rPr>
      </w:pPr>
      <w:r>
        <w:rPr>
          <w:rFonts w:ascii="Arial" w:cs="Arial" w:eastAsia="Arial" w:hAnsi="Arial"/>
          <w:sz w:val="19"/>
          <w:szCs w:val="19"/>
          <w:color w:val="auto"/>
        </w:rPr>
        <w:t>Amount as of June 30, 2022 includes certain adjustments for the second quarter of 2022 relating to deferred tax assets and warrant liability, which were not originally recorded as of and for the three and six months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-516255</wp:posOffset>
            </wp:positionV>
            <wp:extent cx="62318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31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auto"/>
        </w:rPr>
        <w:t>PAGAYA TECHNOLOGIES LTD.</w:t>
      </w:r>
    </w:p>
    <w:p>
      <w:pPr>
        <w:spacing w:after="0" w:line="15" w:lineRule="exact"/>
        <w:rPr>
          <w:sz w:val="20"/>
          <w:szCs w:val="20"/>
          <w:color w:val="auto"/>
        </w:rPr>
      </w:pPr>
    </w:p>
    <w:p>
      <w:pPr>
        <w:ind w:right="3380"/>
        <w:spacing w:after="0" w:line="234" w:lineRule="auto"/>
        <w:rPr>
          <w:sz w:val="20"/>
          <w:szCs w:val="20"/>
          <w:color w:val="auto"/>
        </w:rPr>
      </w:pPr>
      <w:r>
        <w:rPr>
          <w:rFonts w:ascii="Arial" w:cs="Arial" w:eastAsia="Arial" w:hAnsi="Arial"/>
          <w:sz w:val="22"/>
          <w:szCs w:val="22"/>
          <w:b w:val="1"/>
          <w:bCs w:val="1"/>
          <w:color w:val="auto"/>
        </w:rPr>
        <w:t>UNAUDITED CONDENSED CONSOLIDATED STATEMENTS OF CASH FLOWS FOR NINE MONTHS ENDED SEPTEMBER 30, 2022 AND 2021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(240,566)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(66,579)</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method income (loss)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4,077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489</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62,974</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Fair value adjustment to warrant liability</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(9,408)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51,477</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ordinary shares related to commitment shares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Loss from investment in loans and securities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10,706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Fees and other receivables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(31,832)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(16,929)</w:t>
            </w: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tax assets,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(2,979)</w:t>
            </w: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(18,530)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(17,221)</w:t>
            </w: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Right-of-use asset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(9,097)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4,242</w:t>
            </w: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8,265</w:t>
            </w: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Operating lease liability</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(6,204)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Income tax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14,059</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(37,880)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37,800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Proceeds from the sale/maturity/prepayment of:</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 in loans and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88,538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27,935</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Short-term deposits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method and other investments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Payments for the purchase of:</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 in loans and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(261,806)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(142,146)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(18,266)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(1,517)</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method and other investments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(22,991)</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Short-term deposits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(51,446)</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(191,810)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Proceeds from sale of ordinary shares in connection with the Business Combination and PIPE Investment, net of</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issuance costs</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291,872</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issuance of redeemable convertible preferred shares,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172,645</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issuance of ordinary share warrants,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20,807</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secured borrowing</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94,094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received from noncontrolling interests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92,988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129,970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revolving credit facility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26,000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Distribution made to noncontrolling interests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(70,255)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(54,457)</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made to revolving credit facility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Distribution made to secured borrowing</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(18,245)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for deferred offering costs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(4,278)</w:t>
            </w:r>
          </w:p>
        </w:tc>
      </w:tr>
      <w:tr>
        <w:trPr>
          <w:trHeight w:val="223"/>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391,934</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264,858</w:t>
            </w:r>
          </w:p>
        </w:tc>
        <w:tc>
          <w:tcPr>
            <w:tcW w:w="100" w:type="dxa"/>
            <w:vAlign w:val="bottom"/>
            <w:tcBorders>
              <w:top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113,418</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204,575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5,880</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366,819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119,298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91"/>
        </w:trPr>
        <w:tc>
          <w:tcPr>
            <w:tcW w:w="8680" w:type="dxa"/>
            <w:vAlign w:val="bottom"/>
          </w:tcPr>
          <w:p>
            <w:pPr>
              <w:spacing w:after="0" w:line="191" w:lineRule="exact"/>
              <w:rPr>
                <w:sz w:val="20"/>
                <w:szCs w:val="20"/>
                <w:color w:val="auto"/>
              </w:rPr>
            </w:pPr>
            <w:r>
              <w:rPr>
                <w:rFonts w:ascii="Arial" w:cs="Arial" w:eastAsia="Arial" w:hAnsi="Arial"/>
                <w:sz w:val="18"/>
                <w:szCs w:val="18"/>
                <w:b w:val="1"/>
                <w:bCs w:val="1"/>
                <w:color w:val="auto"/>
                <w:w w:val="91"/>
              </w:rPr>
              <w:t>Reconciliation of cash, cash equivalents, and restricted cash within the condensed consolidated statements of</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financial position to the amounts shown in the statements of cash flow above: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327,896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101,236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Restricted cash - current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34,161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12,000</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 non-current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Total cash, cash equivalents, and restricted cash</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366,819</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119,298</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1"/>
        </w:trPr>
        <w:tc>
          <w:tcPr>
            <w:tcW w:w="8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18" w:name="page19"/>
    <w:bookmarkEnd w:id="18"/>
    <w:p>
      <w:pPr>
        <w:ind w:left="101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99.3</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PAGAYA’S MANAGEMENT’S DISCUSSION AND ANALYSIS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CONDITION AND RESULTS OF OPERATIONS</w:t>
      </w:r>
    </w:p>
    <w:p>
      <w:pPr>
        <w:spacing w:after="0" w:line="21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i w:val="1"/>
          <w:iCs w:val="1"/>
          <w:color w:val="auto"/>
        </w:rPr>
        <w:t>You should read the following discussion and analysis of our financial condition and results of operations together with the historical audited annual consolidated financial statements as of and for the years ended December 31, 2021 and 2020, and the related notes included in our Registration Statement on Form F-1, initially filed with the Securities and Exchange Commission (the “SEC”) on July 20, 2022 (as amended, the “Registration Statement”). Some of the information contained in this discussion and analysis, including information with respect to our plans and strategy for our business and related financing, includes forward-looking statements that involve risks and uncertainties. As a result of many factors, including those factors set forth in the “Risk Factors” section of our Registration Statement and any of our subsequent filings with the SEC, our actual results could differ materially from the results described in or implied by the forward-looking statements contained in the following discussion and analysis. In this section “we,” “us,” “our” and “Pagaya” refer to Pagaya Technologies Ltd.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Company Overview</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Pagaya makes life-changing financial products and services available to more people.</w:t>
      </w:r>
    </w:p>
    <w:p>
      <w:pPr>
        <w:spacing w:after="0" w:line="233" w:lineRule="exact"/>
        <w:rPr>
          <w:sz w:val="20"/>
          <w:szCs w:val="20"/>
          <w:color w:val="auto"/>
        </w:rPr>
      </w:pPr>
    </w:p>
    <w:p>
      <w:pPr>
        <w:jc w:val="both"/>
        <w:spacing w:after="0" w:line="254" w:lineRule="auto"/>
        <w:rPr>
          <w:sz w:val="20"/>
          <w:szCs w:val="20"/>
          <w:color w:val="auto"/>
        </w:rPr>
      </w:pPr>
      <w:r>
        <w:rPr>
          <w:rFonts w:ascii="Arial" w:cs="Arial" w:eastAsia="Arial" w:hAnsi="Arial"/>
          <w:sz w:val="21"/>
          <w:szCs w:val="21"/>
          <w:color w:val="auto"/>
        </w:rPr>
        <w:t>We have built, and we are continuing to scale, a leading AI and data network for the benefit of financial services and other service providers, their customers, and investors. Services providers integrated in our network, which we refer to as our ‘‘Partners,’’ range from high-growth financial technology companies to incumbent banks and financial institutions, auto finance providers and residential real estate service providers. Partners benefit from our network to extend financial products to their customers, in turn helping those customers fulfill their financial needs and dreams. These assets originated by Partners with the assistance of Pagaya’s AI technology are eligible to be acquired by Financing Vehicles.</w:t>
      </w:r>
      <w:r>
        <w:rPr>
          <w:rFonts w:ascii="Arial" w:cs="Arial" w:eastAsia="Arial" w:hAnsi="Arial"/>
          <w:sz w:val="34"/>
          <w:szCs w:val="34"/>
          <w:color w:val="auto"/>
          <w:vertAlign w:val="superscript"/>
        </w:rPr>
        <w:t>1</w:t>
      </w:r>
    </w:p>
    <w:p>
      <w:pPr>
        <w:spacing w:after="0" w:line="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In recent years, investments in digitization have improved the front-end delivery of financial products, upgrading customer experience and convenience. Notwithstanding these advances, we believe underlying approaches to the determination of credit worthiness for financial products are often outdated and overly manual. In our experience, providers of financial services tend to utilize a limited number of factors to make decisions, operate with siloed technology infrastructure and have data limited to their own experience. As a result, we believe financial services providers approve a smaller proportion of their application volume than is possible with the benefit of modern technology, such as our AI technology and data network.</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At our core, we are a technology company that deploys sophisticated data science, machine learning and AI technology to drive better results across the ecosystem. We believe our solution drives a “win-win-win” for Partners, their customers and potential customers, and investors. First, by utilizing our network, Partners receive direct benefits from our network by approving a greater share of customer applications, which we believe drives superior revenue growth, enhanced brand affinity, opportunities to promote other financial products and decreased unit-level customer acquisition costs. Partners realize these benefits without taking on incremental risk or requiring incremental funding. Second, Partners’ customers benefit from enhanced and more convenient access to financial products. Third, investors benefit through gaining exposure to the returns of these assets originated by Partners with the assistance of our AI technology and acquired by the Financing Vehicles through our network.</w:t>
      </w:r>
    </w:p>
    <w:p>
      <w:pPr>
        <w:spacing w:after="0" w:line="211" w:lineRule="exact"/>
        <w:rPr>
          <w:sz w:val="20"/>
          <w:szCs w:val="20"/>
          <w:color w:val="auto"/>
        </w:rPr>
      </w:pPr>
    </w:p>
    <w:p>
      <w:pPr>
        <w:ind w:right="900" w:firstLine="8"/>
        <w:spacing w:after="0" w:line="192" w:lineRule="auto"/>
        <w:tabs>
          <w:tab w:leader="none" w:pos="144" w:val="left"/>
        </w:tabs>
        <w:numPr>
          <w:ilvl w:val="0"/>
          <w:numId w:val="5"/>
        </w:numPr>
        <w:rPr>
          <w:rFonts w:ascii="Arial" w:cs="Arial" w:eastAsia="Arial" w:hAnsi="Arial"/>
          <w:sz w:val="35"/>
          <w:szCs w:val="35"/>
          <w:color w:val="auto"/>
          <w:vertAlign w:val="superscript"/>
        </w:rPr>
      </w:pPr>
      <w:r>
        <w:rPr>
          <w:rFonts w:ascii="Arial" w:cs="Arial" w:eastAsia="Arial" w:hAnsi="Arial"/>
          <w:sz w:val="21"/>
          <w:szCs w:val="21"/>
          <w:color w:val="auto"/>
        </w:rPr>
        <w:t>Financing Vehicles refers to (i) funds managed or advised by Pagaya or one of its affiliates, (ii) securitization vehicles sponsored or administered by Pagaya or one of its affiliates and (iii) other similar 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178308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30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Recent Developments</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Committed Equity Financing</w:t>
      </w:r>
    </w:p>
    <w:p>
      <w:pPr>
        <w:spacing w:after="0" w:line="239"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On August 17, 2022, we entered into a common share purchase agreement (the “Purchase Agreement”) and a registration rights agreement (the “Registration Rights Agreement”) with B. Riley Principal Capital II, LLC (“</w:t>
      </w:r>
      <w:r>
        <w:rPr>
          <w:rFonts w:ascii="Arial" w:cs="Arial" w:eastAsia="Arial" w:hAnsi="Arial"/>
          <w:sz w:val="19"/>
          <w:szCs w:val="19"/>
          <w:u w:val="single" w:color="auto"/>
          <w:color w:val="auto"/>
        </w:rPr>
        <w:t>B. Riley Principal Capital II</w:t>
      </w:r>
      <w:r>
        <w:rPr>
          <w:rFonts w:ascii="Arial" w:cs="Arial" w:eastAsia="Arial" w:hAnsi="Arial"/>
          <w:sz w:val="19"/>
          <w:szCs w:val="19"/>
          <w:color w:val="auto"/>
        </w:rPr>
        <w:t>”). Pursuant to the Purchase Agreement, we have the right to sell to B. Riley Principal Capital II up to $300,000,000 of our Class A Ordinary Shares, subject to certain limitations and conditions set forth in the Purchase Agreement, from time to time during the term of the Purchase Agreement. Sales of our Class A Ordinary Shares pursuant to the Purchase Agreement, and the timing of any sales, are solely at our option, and we are under no obligation to sell any securities to B. Riley Principal Capital II under the Purchase Agreement. In accordance with our obligations under the Registration Rights Agreement, we have filed a registration statement (the “ELOC Registration Statement") with the SEC to register under the Securities Act of 1933, as amended (the “Securities Act”) the resale by B. Riley Principal Capital II of up to 40,139,607 Class A Ordinary Shares, including (i) up to 40,000,000 Class A Ordinary Shares that we may elect, in our sole discretion, to issue and sell to B. Riley Principal Capital II, from time to time from and after the Commencement Date (defined below) under the Purchase Agreement, and (ii) 139,607 Class A Ordinary Shares that we issued and may issue to B. Riley Principal Capital II if certain conditions are met pursuant to the Purchase Agreement (the “Commitment Shares”) in consideration for its commitment to purchase our Class A Ordinary Shares that we may, in our sole discretion, direct it to make from time to time after the date of the ELOC Registration Statement pursuant to the Purchase Agreement, of which 46,536 Commitment Shares were issued to B. Riley Principal Capital II on August 17, 2022 (the “Initial Commitment Shares”) and 93,071 Commitment Shares may be issued to the B. Riley Principal Capital II if certain conditions are met pursuant to the Purchase Agreement (the “Additional Commitment Shares”). See also the section titled “Liquidity and Capital Resources—The Committed Equity Financing.”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Credit Facility</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On September 2, 2022, we entered into that certain Senior Secured Revolving Credit Agreement (the “Credit Agreement”) by and among Pagaya, as the borrower, the lenders from time to time party thereto and Silicon Valley Bank, as administrative agent and collateral agent, which provides for a 3-year senior secured revolving credit facility (the “Revolving Credit Facility”) in an initial principal amount of $167.5 million, which includes a sub-limit for letters of credit in an initial aggregate principal amount of $50.0 million, of which up to the U.S. dollar equivalent of $20.0 million may be issued in the new Israeli shekel (“NIS”). See also the section titled “Indebtedness—Credit Facility.”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Emerging Growth Company Status</w:t>
      </w:r>
    </w:p>
    <w:p>
      <w:pPr>
        <w:spacing w:after="0" w:line="23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We qualify as an “emerging growth company,” as defined in Section 2(a) of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21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We will remain an emerging growth company until the earlier of: (i) the last day of the fiscal year (a) following the fifth anniversary of June 22, 2022, (b) in which we have an annual total gross revenue of at least $1.235 billion, or (c) in which we are deemed to be a large accelerated filer, which means the market value of our ordinary equity that is held by non-affiliates exceeds $700 million as of the last business day of the second fiscal quarter of such fiscal year; and (ii) the date on which we have issued more than $1 billion in non-convertible debt securities during the prior three-year period. References herein to “emerging growth company” have the meaning associated with it in the JOBS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t>Foreign Private Issuer Exemptions</w:t>
      </w:r>
    </w:p>
    <w:p>
      <w:pPr>
        <w:spacing w:after="0" w:line="240"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We report as a “foreign private issuer” under U.S. Securities and Exchange Commission rules. Consequently, we are subject to the reporting requirements under the Exchange Act applicable to foreign private issuers. As a result, we are not be required to file our annual report on Form 20-F until 120 days after the end of each fiscal year and we will furnish reports on Form 6-K to the SEC regarding certain information required to be publicly disclosed by us in Israel or that is distributed or required to be distributed by us to our shareholders. Based on our foreign private issuer status, we will not be required to (i) file periodic reports and financial statements with the SEC as frequently or as promptly as a U.S. company whose securities are registered under the Exchange Act, (ii) comply with Regulation FD, which addresses certain restrictions on the selective disclosure of material information or (iii) comply with SEC rules relating to proxy solicitation in connection with shareholder meetings and presentation of shareholder proposals. In addition, among other matters, based on our foreign private issuer status, our officers, directors and principal shareholders will be exempt from the reporting and “short-swing” profit recovery provisions of Section 16 of the Exchange Act and the rules under the Exchange Act with respect to their purchases and sales of Pagaya Ordinary Shares.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Our Economic Model</w:t>
      </w:r>
    </w:p>
    <w:p>
      <w:pPr>
        <w:spacing w:after="0" w:line="23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Pagaya’s revenues are primarily derived from Network Volume. Network Volume represents the assets that our Partners originate with the assistance of our AI technology and are acquired by the Financing Vehicles through our network. We source capital from investors who invest in Financing Vehicles. We earn revenue, primarily in the form of fees, when Network Volume is acquired by Financing Vehicles. These fees include premiums that Financing Vehicles pay for access to our AI technology. We also earn a smaller portion of our revenues from fees related to the establishment and administration of certain Financing Vehicles.</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incur costs when Network Volume is acquired by the Financing Vehicles. These costs, which we refer to as ‘‘Production Costs,’’ compensate our Partners for acquiring and originating assets. Accordingly, the amount and growth of our Production Costs are highly correlated to Network Volume.</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Additionally, we have built, and we are continuing to scale, what we believe to be one of the world’s largest data science and AI organizations that has enabled us to assist our Partners as they make decisions to extend credit to consumers or the identify and purchase single-family residential properties. Headcount, technology overhead and development expenses related to this network represent the significant portion of our expenses outside of Production Costs.</w:t>
      </w:r>
    </w:p>
    <w:p>
      <w:pPr>
        <w:spacing w:after="0" w:line="195" w:lineRule="exact"/>
        <w:rPr>
          <w:sz w:val="20"/>
          <w:szCs w:val="20"/>
          <w:color w:val="auto"/>
        </w:rPr>
      </w:pPr>
    </w:p>
    <w:p>
      <w:pPr>
        <w:ind w:left="3760"/>
        <w:spacing w:after="0"/>
        <w:rPr>
          <w:sz w:val="20"/>
          <w:szCs w:val="20"/>
          <w:color w:val="auto"/>
        </w:rPr>
      </w:pPr>
      <w:r>
        <w:rPr>
          <w:rFonts w:ascii="Arial" w:cs="Arial" w:eastAsia="Arial" w:hAnsi="Arial"/>
          <w:sz w:val="22"/>
          <w:szCs w:val="22"/>
          <w:b w:val="1"/>
          <w:bCs w:val="1"/>
          <w:color w:val="auto"/>
        </w:rPr>
        <w:t>Key Factors Affecting Our Performance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Expanded Usage of Our Network by Our Existing Partners</w:t>
      </w:r>
    </w:p>
    <w:p>
      <w:pPr>
        <w:spacing w:after="0" w:line="23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Our AI technology enables certain Partners to convert a larger proportion of their application volume into originated loans than they could do on their own, expanding their ecosystem and generating incremental revenues. As such, our Partners have historically scaled rapidly upon utilizing our network and continue to advance after initially scaling. We are proud of the fact that we have retained 100% of Partners since our inception in 2016. Furthermore, for those Partners that have benefited from using our AI technology and data network, the last four quarters have generated an average Network Volume growth of 76% year-over-year.</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Adoption of Our Network by Partners</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We devote significant time to, and have a team that focuses on, recruiting new Partners to our network. We believe that our success in adding new Partners to our network is driven by our distinctive value proposition: driving significant revenue uplift to our Partners at limited incremental cost or credit risk to the Partner. Our success adding new Partners has contributed to our overall Network Volume growth and driven our ability to rapidly scale new asset classes.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sz w:val="20"/>
          <w:szCs w:val="20"/>
          <w:color w:val="auto"/>
        </w:rPr>
      </w:pPr>
      <w:r>
        <w:rPr>
          <w:rFonts w:ascii="Arial" w:cs="Arial" w:eastAsia="Arial" w:hAnsi="Arial"/>
          <w:sz w:val="22"/>
          <w:szCs w:val="22"/>
          <w:b w:val="1"/>
          <w:bCs w:val="1"/>
          <w:color w:val="auto"/>
        </w:rPr>
        <w:t>Continued Improvements to Our AI Technology</w:t>
      </w:r>
    </w:p>
    <w:p>
      <w:pPr>
        <w:spacing w:after="0" w:line="24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Our historical growth has been significantly influenced by improvements to our AI technology, which are in turn driven both by the deepening of our proprietary data network and the strengthening of our AI technology. As our existing Partners expand their usage of our network, and new Partners join our network, the value of our data asset increases. Our technology improvements thus benefit from a flywheel effect that is characteristic of AI technology, in that improvements are derived from a continually increasing base of training data for our models. As more data leads to improved AI technology and models, we have found, and we expect to continue to experience, that our AI technology leads to more efficient pricing and greater Network Volume.</w:t>
      </w:r>
    </w:p>
    <w:p>
      <w:pPr>
        <w:spacing w:after="0" w:line="17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addition to the accumulation of data, we make improvements to our models by leveraging the experience of our research and development specialists. Our research team is central to accelerating the sophistication of our AI technology and expanding into new markets and use cases. We are reliant on these experts’ success in making these improvements to our models over time.</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Availability of Funding from Investors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availability of funding from investors is critical to our growth, as Financial Vehicles only acquire an asset if funding is available for that specific asset. We continue to seek to diversify funding channels and counterparties as our business grows. Since the beginning of 2020, we have raised more than $13 billion from investors, but the availability of funding is not guaranteed and subject to market conditions.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Performance of Assets Originated with the Assistance of Our AI Technology</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availability of funding from investors is a function of demand for consumer credit and residential real estate assets, as well as the performance of such assets originated with the assistance of our AI technology and purchased by Finance Vehicles. We believe that investors in Financing Vehicles view our AI technology as an important component in delivering assets that meet their investment criteria. To the extent that assets acquired by the Financing Vehicles underperform investors’ expectations, the availability of funding may be adversely affected.</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Impact of Macroeconomic Cycles</w:t>
      </w:r>
    </w:p>
    <w:p>
      <w:pPr>
        <w:spacing w:after="0" w:line="239"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We expect economic cycles to affect our financial performance and related metrics. Economic conditions, including, but not limited to rising interest rates, inflation, supply chain disruptions and labor shortages, may impact consumer demand for financial products, our Partners’ ability to generate and convert customer application volume, as well as the availability of funding from our investors through the Financing Vehicles. The recent rise in inflation may adversely impact the ability of borrowers to service their debt, which could lead to deterioration of the credit performance of loans and impact investor returns, and therefore may result in lower demand from investors for assets generated on our platform and lead to constraints on our ability to fund new Network Volume. In addition, rising inflation may create an escalation in our operating costs, including employee compensation and general corporate expenses, which could reduce our cash flow and operating income. As of the date of this report, we have not experienced material impacts to our business performance from inflationary pressure. Higher interest rates often lead to higher payment obligations, which may reduce the ability of borrowers to remain current on their obligations and therefore, lead to increased delinquencies, defaults, customer bankruptcies, charge-offs, and decreasing recoveries. Any impact to investor returns may lead to an adverse impact on our earnings. The increased risk-free rate of return may impact investor demand for risk assets such as consumer credit, which may constrain our ability to raise new funding for Network Volume. While our ability to raise new funding has not been impacted, the cost of capital has increased due to the higher interest rate environment. A prolonged economic downturn may also adversely affect the performance of assets that Financing Vehicles acquire from our network. At the same time, such events, including the COVID-19 pandemic or the 2022 inflationary environment, provide key data that we can utilize to improve our AI technology, and they may also help to validate the outcomes our network drives for both Partners and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Key Operating Metrics</w:t>
      </w:r>
    </w:p>
    <w:p>
      <w:pPr>
        <w:spacing w:after="0" w:line="24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We collect and analyze operating and financial data of our business to assess our performance, formulate financial projections and make strategic decisions. In addition to total revenues, net, operating income (loss), other measures under the U.S. generally accepted accounting principles (“GAAP”), and certain non-GAAP financial measures (see discussion and reconciliation herein titled “Reconciliation of Non-GAAP Financial Measures.” The following table sets forth a key operating metric we use to evaluate our business.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0"/>
              </w:rPr>
              <w:t>Nine Months Ended</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3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ind w:left="440"/>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7"/>
              </w:rPr>
              <w:t>September 30,</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11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Change</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Change</w:t>
            </w:r>
          </w:p>
        </w:tc>
        <w:tc>
          <w:tcPr>
            <w:tcW w:w="160" w:type="dxa"/>
            <w:vAlign w:val="bottom"/>
          </w:tcPr>
          <w:p>
            <w:pPr>
              <w:spacing w:after="0"/>
              <w:rPr>
                <w:sz w:val="19"/>
                <w:szCs w:val="19"/>
                <w:color w:val="auto"/>
              </w:rPr>
            </w:pPr>
          </w:p>
        </w:tc>
      </w:tr>
      <w:tr>
        <w:trPr>
          <w:trHeight w:val="243"/>
        </w:trPr>
        <w:tc>
          <w:tcPr>
            <w:tcW w:w="3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00" w:type="dxa"/>
            <w:vAlign w:val="bottom"/>
            <w:gridSpan w:val="5"/>
          </w:tcPr>
          <w:p>
            <w:pPr>
              <w:spacing w:after="0"/>
              <w:rPr>
                <w:sz w:val="20"/>
                <w:szCs w:val="20"/>
                <w:color w:val="auto"/>
              </w:rPr>
            </w:pPr>
            <w:r>
              <w:rPr>
                <w:rFonts w:ascii="Arial" w:cs="Arial" w:eastAsia="Arial" w:hAnsi="Arial"/>
                <w:sz w:val="18"/>
                <w:szCs w:val="18"/>
                <w:b w:val="1"/>
                <w:bCs w:val="1"/>
                <w:color w:val="auto"/>
                <w:w w:val="96"/>
              </w:rPr>
              <w:t>(in millions, except percentages)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Network Volume(1)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1,522</w:t>
            </w:r>
          </w:p>
        </w:tc>
        <w:tc>
          <w:tcPr>
            <w:tcW w:w="16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  $</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(1) Prior period amounts have been updated to conform to current period.</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Network Volume</w:t>
      </w:r>
    </w:p>
    <w:p>
      <w:pPr>
        <w:spacing w:after="0" w:line="23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We believe the Network Volume metric to be a good proxy for our overall scale and reach, as we generate revenue primarily on the basis of Network Volume. Network Volume is driven by our relationships with our Partners, and we believe that this has benefited from continuous improvements to our AI technology, enabling our technology to more effectively identify assets for acquisition by the Financing Vehicles, thereby providing additional investment opportunities to investors. Network Volume is comprised of assets across several asset classes, including personal loans, auto loans, residential real estate, credit card receivables and point of sale receivables.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Components of 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Revenue</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generate revenue from network AI fees, contract fees, interest income and investment income. Network AI fees and contract fees are presented together as Revenue in the consolidated financial statements. Revenue from fees is recognized after applying the five-step model consistent with ASC 606.</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color w:val="auto"/>
        </w:rPr>
        <w:t xml:space="preserve">Network AI fees. </w:t>
      </w:r>
      <w:r>
        <w:rPr>
          <w:rFonts w:ascii="Arial" w:cs="Arial" w:eastAsia="Arial" w:hAnsi="Arial"/>
          <w:sz w:val="22"/>
          <w:szCs w:val="22"/>
          <w:color w:val="auto"/>
        </w:rPr>
        <w:t>Network AI fees are earned and collected from Financing Vehicles upon the generation of Network Volume and</w:t>
      </w:r>
      <w:r>
        <w:rPr>
          <w:rFonts w:ascii="Arial" w:cs="Arial" w:eastAsia="Arial" w:hAnsi="Arial"/>
          <w:sz w:val="22"/>
          <w:szCs w:val="22"/>
          <w:i w:val="1"/>
          <w:iCs w:val="1"/>
          <w:color w:val="auto"/>
        </w:rPr>
        <w:t xml:space="preserve"> </w:t>
      </w:r>
      <w:r>
        <w:rPr>
          <w:rFonts w:ascii="Arial" w:cs="Arial" w:eastAsia="Arial" w:hAnsi="Arial"/>
          <w:sz w:val="22"/>
          <w:szCs w:val="22"/>
          <w:color w:val="auto"/>
        </w:rPr>
        <w:t>upon their establishment. Generally, these fees include premiums that Financing Vehicles pay for Network Volume originated by our Partners with the assistance of our AI technology and data network, as well as fees certain Financing Vehicles pay us upon their establishment.</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 xml:space="preserve">Contract Fees. </w:t>
      </w:r>
      <w:r>
        <w:rPr>
          <w:rFonts w:ascii="Arial" w:cs="Arial" w:eastAsia="Arial" w:hAnsi="Arial"/>
          <w:sz w:val="19"/>
          <w:szCs w:val="19"/>
          <w:color w:val="auto"/>
        </w:rPr>
        <w:t>Contract fees primarily include administration and management fees, and performance fees. Administration and</w:t>
      </w:r>
      <w:r>
        <w:rPr>
          <w:rFonts w:ascii="Arial" w:cs="Arial" w:eastAsia="Arial" w:hAnsi="Arial"/>
          <w:sz w:val="19"/>
          <w:szCs w:val="19"/>
          <w:i w:val="1"/>
          <w:iCs w:val="1"/>
          <w:color w:val="auto"/>
        </w:rPr>
        <w:t xml:space="preserve"> </w:t>
      </w:r>
      <w:r>
        <w:rPr>
          <w:rFonts w:ascii="Arial" w:cs="Arial" w:eastAsia="Arial" w:hAnsi="Arial"/>
          <w:sz w:val="19"/>
          <w:szCs w:val="19"/>
          <w:color w:val="auto"/>
        </w:rPr>
        <w:t>management fees are contracted upon the establishment of individual pools of capital and are earned and collected over their remaining lives. Performance fees are earned when certain Financing Vehicles exceed contractual return hurdles and a significant reversal in the amount of cumulative revenue recognized is not expected to occur.</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also earn interest income related to our risk retention holdings and investment income associated with our ownership interests in certain Financing Vehicles and other proprietary investments.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Costs and Operating Expenses</w:t>
      </w:r>
    </w:p>
    <w:p>
      <w:pPr>
        <w:spacing w:after="0" w:line="23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Cost and operating expenses consist of Production Costs, research and development expenses, sales and marketing expenses, and general and administrative expenses. Salaries and personnel-related costs, including benefits, bonuses, share-based compensation, and outsourcing comprise a significant component of several of these expense categories. A portion of our non-share-based compensation expense and, to a lesser extent, certain operating expenses (excluding Production Costs) are denominated in the new Israeli shekel (“NIS”), which could result in variability in our operating expenses which are presented in U.S. Dollars.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Production Costs</w:t>
      </w:r>
    </w:p>
    <w:p>
      <w:pPr>
        <w:spacing w:after="0" w:line="239"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Production Costs are primarily comprised of fees we pay our Partners when Network Volume is transferred into Financing Vehicles. Accordingly, the amount and growth of our Production Costs are highly correlated to Network Volume. Additionally, but to a lesser extent, Production Costs also include expenses incurred to renovate single family residential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auto"/>
        </w:rPr>
        <w:t>Research and Development</w:t>
      </w:r>
    </w:p>
    <w:p>
      <w:pPr>
        <w:spacing w:after="0" w:line="24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Research and development expenses primarily comprise costs associated with the maintenance and ongoing development of our network and AI technology including personnel, allocated costs, and other development-related expenses. Research and development costs are expensed as incurred, net of capitalization. We have invested and believe continued investments in research and development are important to attain our strategic objectives.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 and Marketing</w:t>
      </w:r>
    </w:p>
    <w:p>
      <w:pPr>
        <w:spacing w:after="0" w:line="23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Sales and marketing expenses, related to Partner onboarding and development, as well as investor and potential investor management, are comprised primarily of salaries and personnel-related costs, as well as the costs of certain professional services, and allocated overhead. Sales and marketing expenses are expensed as incurred. Sales and marketing expenses in absolute dollars may fluctuate from period to period based on the timing of our investments in our sales and marketing functions. These investments may vary in scope and scale over future periods depending on our pipeline of new Partners and strategic investors.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and Administrative</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General and administrative expenses primarily comprise personnel-related costs for our executives, finance, legal and other administrative functions, professional fees for external legal, accounting and other professional services and allocated overhead costs. General and administrative expenses are expensed as incurred.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Income (loss), net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Other Income (loss), net primarily consists of changes in the fair value of warrant liabilities.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 Expense</w:t>
      </w:r>
    </w:p>
    <w:p>
      <w:pPr>
        <w:spacing w:after="0" w:line="239"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We account for taxes on income in accordance with ASC 740, “Income Taxes.” We are eligible for certain tax benefits in Israel under the Law for the Encouragement of Capital Investments or the Investment Law at a reduced tax rate of 12%. Accordingly, as we generate taxable income in Israel, our effective tax rate is expected to be lower than the standard corporate tax rate for Israeli companies, which is 23%. Our taxable income generated outside of Israel or derived from other sources in Israel which is not eligible for tax benefits will be subject to the regular corporate tax rate in their respective tax jurisdictions.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Income Attributable to Noncontrolling Interests</w:t>
      </w:r>
    </w:p>
    <w:p>
      <w:pPr>
        <w:spacing w:after="0" w:line="239" w:lineRule="exact"/>
        <w:rPr>
          <w:sz w:val="20"/>
          <w:szCs w:val="20"/>
          <w:color w:val="auto"/>
        </w:rPr>
      </w:pPr>
    </w:p>
    <w:p>
      <w:pPr>
        <w:jc w:val="both"/>
        <w:ind w:firstLine="54"/>
        <w:spacing w:after="0"/>
        <w:rPr>
          <w:sz w:val="20"/>
          <w:szCs w:val="20"/>
          <w:color w:val="auto"/>
        </w:rPr>
      </w:pPr>
      <w:r>
        <w:rPr>
          <w:rFonts w:ascii="Arial" w:cs="Arial" w:eastAsia="Arial" w:hAnsi="Arial"/>
          <w:sz w:val="22"/>
          <w:szCs w:val="22"/>
          <w:color w:val="auto"/>
        </w:rPr>
        <w:t>Net income attributable to noncontrolling interests in our consolidated statements of operations is a result of our investments in certain of our consolidated variable interest entities (‘‘VIEs’’) and consists of the portion of the net income of these consolidated entities that is not attributable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ind w:left="4800"/>
        <w:spacing w:after="0"/>
        <w:rPr>
          <w:sz w:val="20"/>
          <w:szCs w:val="20"/>
          <w:color w:val="auto"/>
        </w:rPr>
      </w:pPr>
      <w:r>
        <w:rPr>
          <w:rFonts w:ascii="Arial" w:cs="Arial" w:eastAsia="Arial" w:hAnsi="Arial"/>
          <w:sz w:val="22"/>
          <w:szCs w:val="22"/>
          <w:b w:val="1"/>
          <w:bCs w:val="1"/>
          <w:color w:val="auto"/>
        </w:rPr>
        <w:t>Results of Operations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sets forth operating results for the periods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238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238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9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5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r>
      <w:tr>
        <w:trPr>
          <w:trHeight w:val="243"/>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 from fees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185,614</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128,149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507,241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301,604</w:t>
            </w:r>
          </w:p>
        </w:tc>
      </w:tr>
      <w:tr>
        <w:trPr>
          <w:trHeight w:val="239"/>
        </w:trPr>
        <w:tc>
          <w:tcPr>
            <w:tcW w:w="598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13,666</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8,455</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43,127</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18,256</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Investment income (loss)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4,675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5,670</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 and Other Income</w:t>
            </w: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203,955</w:t>
            </w:r>
          </w:p>
        </w:tc>
        <w:tc>
          <w:tcPr>
            <w:tcW w:w="24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136,590</w:t>
            </w:r>
          </w:p>
        </w:tc>
        <w:tc>
          <w:tcPr>
            <w:tcW w:w="22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556,038</w:t>
            </w:r>
          </w:p>
        </w:tc>
        <w:tc>
          <w:tcPr>
            <w:tcW w:w="22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319,858</w:t>
            </w:r>
          </w:p>
        </w:tc>
        <w:tc>
          <w:tcPr>
            <w:tcW w:w="100" w:type="dxa"/>
            <w:vAlign w:val="bottom"/>
            <w:shd w:val="clear" w:color="auto" w:fill="CCEEFF"/>
          </w:tcPr>
          <w:p>
            <w:pPr>
              <w:spacing w:after="0"/>
              <w:rPr>
                <w:sz w:val="19"/>
                <w:szCs w:val="19"/>
                <w:color w:val="auto"/>
              </w:rPr>
            </w:pPr>
          </w:p>
        </w:tc>
      </w:tr>
      <w:tr>
        <w:trPr>
          <w:trHeight w:val="239"/>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Costs and Operating Expenses</w:t>
            </w: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7"/>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Production costs</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129,115</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81,731</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326,375</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181,505</w:t>
            </w:r>
          </w:p>
        </w:tc>
      </w:tr>
      <w:tr>
        <w:trPr>
          <w:trHeight w:val="243"/>
        </w:trPr>
        <w:tc>
          <w:tcPr>
            <w:tcW w:w="5980" w:type="dxa"/>
            <w:vAlign w:val="bottom"/>
          </w:tcPr>
          <w:p>
            <w:pPr>
              <w:ind w:left="180"/>
              <w:spacing w:after="0"/>
              <w:rPr>
                <w:sz w:val="20"/>
                <w:szCs w:val="20"/>
                <w:color w:val="auto"/>
              </w:rPr>
            </w:pPr>
            <w:r>
              <w:rPr>
                <w:rFonts w:ascii="Arial" w:cs="Arial" w:eastAsia="Arial" w:hAnsi="Arial"/>
                <w:sz w:val="18"/>
                <w:szCs w:val="18"/>
                <w:color w:val="auto"/>
              </w:rPr>
              <w:t>Research and development(1)</w:t>
            </w:r>
          </w:p>
        </w:tc>
        <w:tc>
          <w:tcPr>
            <w:tcW w:w="16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38,643</w:t>
            </w: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11,932</w:t>
            </w: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127,379</w:t>
            </w:r>
          </w:p>
        </w:tc>
        <w:tc>
          <w:tcPr>
            <w:tcW w:w="16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51,344</w:t>
            </w:r>
          </w:p>
        </w:tc>
      </w:tr>
      <w:tr>
        <w:trPr>
          <w:trHeight w:val="243"/>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marketing(1)</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26,579</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9,161</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90,229</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37,564</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General and administrative(1)</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73,790</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18,961</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236,863</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53,068</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Costs and Operating Expenses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268,127</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121,785</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780,846</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323,481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(64,172)</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14,805</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(224,808)</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(3,623)</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(loss), net(2)</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(32,768)</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9,846</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(51,539)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(60,939)</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(17,963)</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(214,962)</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(55,162)</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expense(2)</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25,604</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(67,004)</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(21,587)</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(240,566)</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(66,579)</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7,785</w:t>
            </w: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6,570</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27,757</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Net Loss Attributable to Pagaya Technologies Ltd.</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(74,789)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(28,157)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(268,323)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(80,695)</w:t>
            </w:r>
          </w:p>
        </w:tc>
      </w:tr>
      <w:tr>
        <w:trPr>
          <w:trHeight w:val="21"/>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16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Net loss attributable to Pagaya Technologies Ltd.</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(74,789)</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(28,157)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(268,323)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(80,695)</w:t>
            </w:r>
          </w:p>
        </w:tc>
      </w:tr>
      <w:tr>
        <w:trPr>
          <w:trHeight w:val="24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Less: Undistributed earnings allocated to participated securities</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(3,153)</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(12,205)</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(13,494)</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Less: Deemed dividend distribution</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(23,612)</w:t>
            </w:r>
          </w:p>
        </w:tc>
      </w:tr>
      <w:tr>
        <w:trPr>
          <w:trHeight w:val="25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attributed to Pagaya Technologies Ltd.</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(74,789)</w:t>
            </w:r>
          </w:p>
        </w:tc>
        <w:tc>
          <w:tcPr>
            <w:tcW w:w="24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(31,310)</w:t>
            </w:r>
          </w:p>
        </w:tc>
        <w:tc>
          <w:tcPr>
            <w:tcW w:w="22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(280,528)</w:t>
            </w:r>
          </w:p>
        </w:tc>
        <w:tc>
          <w:tcPr>
            <w:tcW w:w="22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(117,801)</w:t>
            </w:r>
          </w:p>
        </w:tc>
        <w:tc>
          <w:tcPr>
            <w:tcW w:w="100" w:type="dxa"/>
            <w:vAlign w:val="bottom"/>
            <w:shd w:val="clear" w:color="auto" w:fill="CCEEFF"/>
          </w:tcPr>
          <w:p>
            <w:pPr>
              <w:spacing w:after="0"/>
              <w:rPr>
                <w:sz w:val="22"/>
                <w:szCs w:val="22"/>
                <w:color w:val="auto"/>
              </w:rPr>
            </w:pPr>
          </w:p>
        </w:tc>
      </w:tr>
      <w:tr>
        <w:trPr>
          <w:trHeight w:val="232"/>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Net loss per share attributable to Pagaya Technologies Ltd.:</w:t>
            </w: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r>
      <w:tr>
        <w:trPr>
          <w:trHeight w:val="241"/>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b w:val="1"/>
                <w:bCs w:val="1"/>
                <w:color w:val="auto"/>
              </w:rPr>
              <w:t>Non-GAAP adjusted net income (loss)(4)</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(14,440)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11,283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(28,981)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36,879</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adjusted net income per share:</w:t>
            </w:r>
          </w:p>
        </w:tc>
        <w:tc>
          <w:tcPr>
            <w:tcW w:w="16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Basic(3)</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0.06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(0.08)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Diluted(3)</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2"/>
        </w:trPr>
        <w:tc>
          <w:tcPr>
            <w:tcW w:w="598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Basic(3)</w:t>
            </w:r>
          </w:p>
        </w:tc>
        <w:tc>
          <w:tcPr>
            <w:tcW w:w="16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679,431,901</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196,023,981</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381,831,895</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194,490,947</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980" w:type="dxa"/>
            <w:vAlign w:val="bottom"/>
          </w:tcPr>
          <w:p>
            <w:pPr>
              <w:ind w:left="180"/>
              <w:spacing w:after="0"/>
              <w:rPr>
                <w:sz w:val="20"/>
                <w:szCs w:val="20"/>
                <w:color w:val="auto"/>
              </w:rPr>
            </w:pPr>
            <w:r>
              <w:rPr>
                <w:rFonts w:ascii="Arial" w:cs="Arial" w:eastAsia="Arial" w:hAnsi="Arial"/>
                <w:sz w:val="18"/>
                <w:szCs w:val="18"/>
                <w:color w:val="auto"/>
              </w:rPr>
              <w:t>Diluted(3)</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964,179,889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439,122,774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666,968,467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345,551,431</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(1) The following table sets forth share-based compensation for the periods indicated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4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16,208</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76,451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26,242</w:t>
            </w: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15,645</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631</w:t>
            </w:r>
          </w:p>
        </w:tc>
        <w:tc>
          <w:tcPr>
            <w:tcW w:w="2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54,534</w:t>
            </w:r>
          </w:p>
        </w:tc>
        <w:tc>
          <w:tcPr>
            <w:tcW w:w="2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17,410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92,022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19,322</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Total share-based compensation in operating expenses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60,302</w:t>
            </w:r>
          </w:p>
        </w:tc>
        <w:tc>
          <w:tcPr>
            <w:tcW w:w="2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3,857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223,007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62,974</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Share-based compensation for the three and nine months ended September 30, 2022 included $41.8 million and $167.4 million of expense, respectively, related to the acceleration of vesting of certain performance awards. These performance awards, provided to certain founders and directors, do not contain any time-based employment requirements and are only subject to certain stock performance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jc w:val="both"/>
        <w:spacing w:after="0"/>
        <w:rPr>
          <w:sz w:val="20"/>
          <w:szCs w:val="20"/>
          <w:color w:val="auto"/>
        </w:rPr>
      </w:pPr>
      <w:r>
        <w:rPr>
          <w:rFonts w:ascii="Arial" w:cs="Arial" w:eastAsia="Arial" w:hAnsi="Arial"/>
          <w:sz w:val="22"/>
          <w:szCs w:val="22"/>
          <w:color w:val="auto"/>
        </w:rPr>
        <w:t>Share-based compensation for the three and nine months ended September 30, 2021 included $0.0 million and $56.8 million of expense, respectively, related to the amount paid in excess of the estimated fair value of ordinary shares as of the date of the transactions in connection with a secondary sale</w:t>
      </w:r>
    </w:p>
    <w:p>
      <w:pPr>
        <w:spacing w:after="0" w:line="214" w:lineRule="exact"/>
        <w:rPr>
          <w:sz w:val="20"/>
          <w:szCs w:val="20"/>
          <w:color w:val="auto"/>
        </w:rPr>
      </w:pPr>
    </w:p>
    <w:p>
      <w:pPr>
        <w:ind w:right="20" w:firstLine="8"/>
        <w:spacing w:after="0"/>
        <w:tabs>
          <w:tab w:leader="none" w:pos="306" w:val="left"/>
        </w:tabs>
        <w:numPr>
          <w:ilvl w:val="0"/>
          <w:numId w:val="6"/>
        </w:numPr>
        <w:rPr>
          <w:rFonts w:ascii="Arial" w:cs="Arial" w:eastAsia="Arial" w:hAnsi="Arial"/>
          <w:sz w:val="22"/>
          <w:szCs w:val="22"/>
          <w:color w:val="auto"/>
        </w:rPr>
      </w:pPr>
      <w:r>
        <w:rPr>
          <w:rFonts w:ascii="Arial" w:cs="Arial" w:eastAsia="Arial" w:hAnsi="Arial"/>
          <w:sz w:val="22"/>
          <w:szCs w:val="22"/>
          <w:color w:val="auto"/>
        </w:rPr>
        <w:t>Amounts for the nine months ended September 30, 2022 include certain adjustments for the second quarter of 2022 relating to deferred tax assets and warrant liability valuation, which were not originally recorded as of and for the three and six-months ended June 30, 2022.</w:t>
      </w:r>
    </w:p>
    <w:p>
      <w:pPr>
        <w:spacing w:after="0" w:line="213" w:lineRule="exact"/>
        <w:rPr>
          <w:rFonts w:ascii="Arial" w:cs="Arial" w:eastAsia="Arial" w:hAnsi="Arial"/>
          <w:sz w:val="22"/>
          <w:szCs w:val="22"/>
          <w:color w:val="auto"/>
        </w:rPr>
      </w:pPr>
    </w:p>
    <w:p>
      <w:pPr>
        <w:ind w:left="320" w:hanging="312"/>
        <w:spacing w:after="0"/>
        <w:tabs>
          <w:tab w:leader="none" w:pos="320" w:val="left"/>
        </w:tabs>
        <w:numPr>
          <w:ilvl w:val="0"/>
          <w:numId w:val="6"/>
        </w:numPr>
        <w:rPr>
          <w:rFonts w:ascii="Arial" w:cs="Arial" w:eastAsia="Arial" w:hAnsi="Arial"/>
          <w:sz w:val="21"/>
          <w:szCs w:val="21"/>
          <w:color w:val="auto"/>
        </w:rPr>
      </w:pPr>
      <w:r>
        <w:rPr>
          <w:rFonts w:ascii="Arial" w:cs="Arial" w:eastAsia="Arial" w:hAnsi="Arial"/>
          <w:sz w:val="21"/>
          <w:szCs w:val="21"/>
          <w:color w:val="auto"/>
        </w:rPr>
        <w:t>Prior period amounts have been retroactively adjusted to reflect the 1:186.9 stock split effected on June 22, 2022.</w:t>
      </w:r>
    </w:p>
    <w:p>
      <w:pPr>
        <w:spacing w:after="0" w:line="244" w:lineRule="exact"/>
        <w:rPr>
          <w:rFonts w:ascii="Arial" w:cs="Arial" w:eastAsia="Arial" w:hAnsi="Arial"/>
          <w:sz w:val="21"/>
          <w:szCs w:val="21"/>
          <w:color w:val="auto"/>
        </w:rPr>
      </w:pPr>
    </w:p>
    <w:p>
      <w:pPr>
        <w:ind w:right="760" w:firstLine="8"/>
        <w:spacing w:after="0" w:line="250" w:lineRule="auto"/>
        <w:tabs>
          <w:tab w:leader="none" w:pos="306" w:val="left"/>
        </w:tabs>
        <w:numPr>
          <w:ilvl w:val="0"/>
          <w:numId w:val="6"/>
        </w:numPr>
        <w:rPr>
          <w:rFonts w:ascii="Arial" w:cs="Arial" w:eastAsia="Arial" w:hAnsi="Arial"/>
          <w:sz w:val="22"/>
          <w:szCs w:val="22"/>
          <w:color w:val="auto"/>
        </w:rPr>
      </w:pPr>
      <w:r>
        <w:rPr>
          <w:rFonts w:ascii="Arial" w:cs="Arial" w:eastAsia="Arial" w:hAnsi="Arial"/>
          <w:sz w:val="22"/>
          <w:szCs w:val="22"/>
          <w:color w:val="auto"/>
        </w:rPr>
        <w:t>See “Reconciliation of Non-GAAP Financial Measures” elsewhere within this MD&amp;A for a reconciliation of this and adjusted EBITDA.</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Comparison of Three Months Ended September 30, 2022 and 2021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Revenue and Other Income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530"/>
              <w:spacing w:after="0"/>
              <w:rPr>
                <w:sz w:val="20"/>
                <w:szCs w:val="20"/>
                <w:color w:val="auto"/>
              </w:rPr>
            </w:pPr>
            <w:r>
              <w:rPr>
                <w:rFonts w:ascii="Arial" w:cs="Arial" w:eastAsia="Arial" w:hAnsi="Arial"/>
                <w:sz w:val="18"/>
                <w:szCs w:val="18"/>
                <w:b w:val="1"/>
                <w:bCs w:val="1"/>
                <w:color w:val="auto"/>
                <w:w w:val="99"/>
              </w:rPr>
              <w:t>Three Months Ended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79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Change</w:t>
            </w:r>
          </w:p>
        </w:tc>
        <w:tc>
          <w:tcPr>
            <w:tcW w:w="16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5"/>
              </w:rPr>
              <w:t>(in thousands,</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 from fees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185,614</w:t>
            </w:r>
          </w:p>
        </w:tc>
        <w:tc>
          <w:tcPr>
            <w:tcW w:w="460" w:type="dxa"/>
            <w:vAlign w:val="bottom"/>
            <w:tcBorders>
              <w:lef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128,149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57,465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13,666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10"/>
              <w:spacing w:after="0"/>
              <w:rPr>
                <w:sz w:val="20"/>
                <w:szCs w:val="20"/>
                <w:color w:val="auto"/>
              </w:rPr>
            </w:pPr>
            <w:r>
              <w:rPr>
                <w:rFonts w:ascii="Arial" w:cs="Arial" w:eastAsia="Arial" w:hAnsi="Arial"/>
                <w:sz w:val="18"/>
                <w:szCs w:val="18"/>
                <w:color w:val="auto"/>
              </w:rPr>
              <w:t>8,455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5,211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(loss)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w:t>
            </w:r>
          </w:p>
        </w:tc>
        <w:tc>
          <w:tcPr>
            <w:tcW w:w="2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4,689</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NM</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Total Revenue and Other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203,955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136,590</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67,365</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r>
      <w:tr>
        <w:trPr>
          <w:trHeight w:val="27"/>
        </w:trPr>
        <w:tc>
          <w:tcPr>
            <w:tcW w:w="5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NM - Not meaningful for comparison.</w:t>
      </w: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Total revenue and other income, increased by $67.4 million, or 49%, to $204.0 million for the three months ended September 30, 2022 from $136.6 million for the three months ended September 30, 2021. The increase was primarily driven by an increase in revenue from fees, which in turn is primarily related to the increase in Network Volume.</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Revenue from fees increased by $57.5 million, or 45%, to $185.6 million for the three months ended September 30, 2022 from $128.1 million for the three months ended September 30, 2021. The increase is directly correlated with the growth in Network Volume, which increased by 26% from $1.5 billion for the three months ended September 30, 2021 to $1.9 billion for the three months ended September 30, 2022. Network Volume is a function of supply from existing and new Partners, as well as market demand for the originated assets. Market demand for the originated assets, as represented by assets held by Financing Vehicles, grew 28% to $5.0 billion as of September 30, 2022, from $3.9 billion as of September 30, 2021.</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Interest income increased by $5.2 million, or 62%, to $13.7 million for the three months ended September 30, 2022 from $8.5 million for the three months ended September 30, 2021. The increase in interest income is directly related to our risk retention holdings held in the Company’s consolidated VIEs as well as certain risk retention holdings held directly by the Company’s consolidated subsidiaries.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Investment income increased by $4.7 million to $4.7 million for the three months ended September 30, 2022 from a loss of $0.0 million for the three months ended September 30, 2021. Investment income during the three months ended September 30, 2022 primarily relates to the returns from certain proprietary investments which did not exist during the three months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Arial" w:cs="Arial" w:eastAsia="Arial" w:hAnsi="Arial"/>
          <w:sz w:val="22"/>
          <w:szCs w:val="22"/>
          <w:b w:val="1"/>
          <w:bCs w:val="1"/>
          <w:color w:val="auto"/>
        </w:rPr>
        <w:t>Costs and Operating Expenses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44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Production costs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129,115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81,731</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38,643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11,932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26,579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9,161</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73,790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18,961</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 and Operating Expenses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268,127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121,785</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Production Costs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6"/>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6"/>
          </w:tcPr>
          <w:p>
            <w:pPr>
              <w:ind w:left="4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220" w:type="dxa"/>
            <w:vAlign w:val="bottom"/>
          </w:tcPr>
          <w:p>
            <w:pPr>
              <w:spacing w:after="0"/>
              <w:rPr>
                <w:sz w:val="19"/>
                <w:szCs w:val="19"/>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Change</w:t>
            </w:r>
          </w:p>
        </w:tc>
        <w:tc>
          <w:tcPr>
            <w:tcW w:w="160" w:type="dxa"/>
            <w:vAlign w:val="bottom"/>
          </w:tcPr>
          <w:p>
            <w:pPr>
              <w:spacing w:after="0"/>
              <w:rPr>
                <w:sz w:val="19"/>
                <w:szCs w:val="19"/>
                <w:color w:val="auto"/>
              </w:rPr>
            </w:pPr>
          </w:p>
        </w:tc>
      </w:tr>
      <w:tr>
        <w:trPr>
          <w:trHeight w:val="243"/>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20" w:type="dxa"/>
            <w:vAlign w:val="bottom"/>
            <w:gridSpan w:val="7"/>
          </w:tcPr>
          <w:p>
            <w:pPr>
              <w:ind w:left="60"/>
              <w:spacing w:after="0"/>
              <w:rPr>
                <w:sz w:val="20"/>
                <w:szCs w:val="20"/>
                <w:color w:val="auto"/>
              </w:rPr>
            </w:pPr>
            <w:r>
              <w:rPr>
                <w:rFonts w:ascii="Arial" w:cs="Arial" w:eastAsia="Arial" w:hAnsi="Arial"/>
                <w:sz w:val="18"/>
                <w:szCs w:val="18"/>
                <w:b w:val="1"/>
                <w:bCs w:val="1"/>
                <w:color w:val="auto"/>
                <w:w w:val="90"/>
              </w:rPr>
              <w:t>(in thousands, except percentages)</w:t>
            </w: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Production costs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129,115</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81,731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47,384</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Production costs increased by $47.4 million, or 58%, to $129.1 million for the three months ended September 30, 2022 from $81.7 million for the three months ended September 30, 2021. This increase was primarily due to increases in Network Volume and the composition of the asset classes that make up our Network Volume.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6"/>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6"/>
          </w:tcPr>
          <w:p>
            <w:pPr>
              <w:ind w:left="4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220" w:type="dxa"/>
            <w:vAlign w:val="bottom"/>
          </w:tcPr>
          <w:p>
            <w:pPr>
              <w:spacing w:after="0"/>
              <w:rPr>
                <w:sz w:val="19"/>
                <w:szCs w:val="19"/>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Change</w:t>
            </w:r>
          </w:p>
        </w:tc>
        <w:tc>
          <w:tcPr>
            <w:tcW w:w="16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1"/>
              </w:rPr>
              <w:t>(in thousands,</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38,643</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11,932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26,711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224%</w:t>
            </w:r>
          </w:p>
        </w:tc>
      </w:tr>
    </w:tbl>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Research and development costs increased by $26.7 million, or 224%, to $38.6 million for the three months ended September 30, 2022 from $11.9 million for the three months ended September 30, 2021. This increase was primarily due to a $21.7 million increase in personnel-related expenses, including a $15.0 million increase in share-based compensation expenses net of amounts capitalized, due to the growth in employees, and a $4.5 million increase in overhead allocation and other miscellaneous costs. Headcount in research and development increased by 58% between September 30, 2021 and September 30, 2022.</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 and Marketing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4"/>
          </w:tcPr>
          <w:p>
            <w:pPr>
              <w:ind w:left="140"/>
              <w:spacing w:after="0"/>
              <w:rPr>
                <w:sz w:val="20"/>
                <w:szCs w:val="20"/>
                <w:color w:val="auto"/>
              </w:rPr>
            </w:pPr>
            <w:r>
              <w:rPr>
                <w:rFonts w:ascii="Arial" w:cs="Arial" w:eastAsia="Arial" w:hAnsi="Arial"/>
                <w:sz w:val="18"/>
                <w:szCs w:val="18"/>
                <w:b w:val="1"/>
                <w:bCs w:val="1"/>
                <w:color w:val="auto"/>
                <w:w w:val="92"/>
              </w:rPr>
              <w:t>Three Months Ended</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ind w:left="440"/>
              <w:spacing w:after="0"/>
              <w:rPr>
                <w:sz w:val="20"/>
                <w:szCs w:val="20"/>
                <w:color w:val="auto"/>
              </w:rPr>
            </w:pPr>
            <w:r>
              <w:rPr>
                <w:rFonts w:ascii="Arial" w:cs="Arial" w:eastAsia="Arial" w:hAnsi="Arial"/>
                <w:sz w:val="18"/>
                <w:szCs w:val="18"/>
                <w:b w:val="1"/>
                <w:bCs w:val="1"/>
                <w:color w:val="auto"/>
              </w:rPr>
              <w:t>September 30,</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220" w:type="dxa"/>
            <w:vAlign w:val="bottom"/>
          </w:tcPr>
          <w:p>
            <w:pPr>
              <w:spacing w:after="0"/>
              <w:rPr>
                <w:sz w:val="19"/>
                <w:szCs w:val="19"/>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Change</w:t>
            </w:r>
          </w:p>
        </w:tc>
        <w:tc>
          <w:tcPr>
            <w:tcW w:w="16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1"/>
              </w:rPr>
              <w:t>(in thousands,</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26,579</w:t>
            </w:r>
          </w:p>
        </w:tc>
        <w:tc>
          <w:tcPr>
            <w:tcW w:w="86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88"/>
              </w:rPr>
              <w:t>9,161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17,418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r>
    </w:tbl>
    <w:p>
      <w:pPr>
        <w:spacing w:after="0" w:line="22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Sales and marketing costs increased by $17.4 million, or 190%, to $26.6 million for the three months ended September 30, 2022 from $9.2 million for the three months ended September 30, 2021. This increase was primarily due to a $16.2 million increase in personnel-related expenses, including a $15.0 million increase in share-based compensation expenses, due to the growth in employees, and a $1.2 million increase in overhead allocation and other miscellaneous costs. Headcount in sales and marketing increased by 26% between September 30, 2021 and September 30, 2022.</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and Administrative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6"/>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6"/>
          </w:tcPr>
          <w:p>
            <w:pPr>
              <w:ind w:left="4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220" w:type="dxa"/>
            <w:vAlign w:val="bottom"/>
          </w:tcPr>
          <w:p>
            <w:pPr>
              <w:spacing w:after="0"/>
              <w:rPr>
                <w:sz w:val="19"/>
                <w:szCs w:val="19"/>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Change</w:t>
            </w:r>
          </w:p>
        </w:tc>
        <w:tc>
          <w:tcPr>
            <w:tcW w:w="16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1"/>
              </w:rPr>
              <w:t>(in thousands,</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73,790</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18,961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54,829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w:t>
            </w:r>
          </w:p>
        </w:tc>
      </w:tr>
      <w:tr>
        <w:trPr>
          <w:trHeight w:val="426"/>
        </w:trPr>
        <w:tc>
          <w:tcPr>
            <w:tcW w:w="5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27" w:name="page28"/>
    <w:bookmarkEnd w:id="27"/>
    <w:p>
      <w:pPr>
        <w:jc w:val="both"/>
        <w:spacing w:after="0" w:line="279" w:lineRule="auto"/>
        <w:rPr>
          <w:sz w:val="20"/>
          <w:szCs w:val="20"/>
          <w:color w:val="auto"/>
        </w:rPr>
      </w:pPr>
      <w:r>
        <w:rPr>
          <w:rFonts w:ascii="Arial" w:cs="Arial" w:eastAsia="Arial" w:hAnsi="Arial"/>
          <w:sz w:val="19"/>
          <w:szCs w:val="19"/>
          <w:color w:val="auto"/>
        </w:rPr>
        <w:t>General and administrative costs increased by $54.8 million, or 289%, to $73.8 million for the three months ended September 30, 2022 from $19.0 million for the three months ended September 30, 2021. This increase was primarily due to a $33.7 million increase in personnel-related expenses, including a $26.4 million increase in share-based compensation expenses, due to the growth in employees, a $9.8 million increase in expenses related to the public company readiness, legal and other business-related professional services, and a $9.8 million increase in miscellaneous costs, including a $4.6 million increase in overhead allocations. Headcount in general and administrative increased by 113% between September 30, 2021 and September 30, 2022.</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Income (Loss), net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6"/>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6"/>
          </w:tcPr>
          <w:p>
            <w:pPr>
              <w:ind w:left="4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220" w:type="dxa"/>
            <w:vAlign w:val="bottom"/>
          </w:tcPr>
          <w:p>
            <w:pPr>
              <w:spacing w:after="0"/>
              <w:rPr>
                <w:sz w:val="19"/>
                <w:szCs w:val="19"/>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Change</w:t>
            </w:r>
          </w:p>
        </w:tc>
        <w:tc>
          <w:tcPr>
            <w:tcW w:w="16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1"/>
              </w:rPr>
              <w:t>(in thousands,</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 net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3,233</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(32,768)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36,001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Other income (loss) swung from a loss of $32.8 million for the three months ended September 30, 2021 to income of $3.2 million for the three months ended September 30, 2022. The change of $36.0 million was primarily due to a $35.5 million favorable impact from the changes in fair value remeasurement of warrants.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 Expense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218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2"/>
              </w:rPr>
              <w:t>Three Months Ended</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1"/>
        </w:trPr>
        <w:tc>
          <w:tcPr>
            <w:tcW w:w="6200" w:type="dxa"/>
            <w:vAlign w:val="bottom"/>
          </w:tcPr>
          <w:p>
            <w:pPr>
              <w:spacing w:after="0"/>
              <w:rPr>
                <w:sz w:val="20"/>
                <w:szCs w:val="20"/>
                <w:color w:val="auto"/>
              </w:rPr>
            </w:pPr>
          </w:p>
        </w:tc>
        <w:tc>
          <w:tcPr>
            <w:tcW w:w="2180" w:type="dxa"/>
            <w:vAlign w:val="bottom"/>
            <w:tcBorders>
              <w:bottom w:val="single" w:sz="8" w:color="auto"/>
            </w:tcBorders>
            <w:gridSpan w:val="4"/>
          </w:tcPr>
          <w:p>
            <w:pPr>
              <w:jc w:val="center"/>
              <w:ind w:left="350"/>
              <w:spacing w:after="0"/>
              <w:rPr>
                <w:sz w:val="20"/>
                <w:szCs w:val="20"/>
                <w:color w:val="auto"/>
              </w:rPr>
            </w:pPr>
            <w:r>
              <w:rPr>
                <w:rFonts w:ascii="Arial" w:cs="Arial" w:eastAsia="Arial" w:hAnsi="Arial"/>
                <w:sz w:val="18"/>
                <w:szCs w:val="18"/>
                <w:b w:val="1"/>
                <w:bCs w:val="1"/>
                <w:color w:val="auto"/>
                <w:w w:val="89"/>
              </w:rPr>
              <w:t>September 30,</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3"/>
        </w:trPr>
        <w:tc>
          <w:tcPr>
            <w:tcW w:w="62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3"/>
              </w:rPr>
              <w:t>Change</w:t>
            </w:r>
          </w:p>
        </w:tc>
        <w:tc>
          <w:tcPr>
            <w:tcW w:w="100" w:type="dxa"/>
            <w:vAlign w:val="bottom"/>
          </w:tcPr>
          <w:p>
            <w:pPr>
              <w:spacing w:after="0"/>
              <w:rPr>
                <w:sz w:val="19"/>
                <w:szCs w:val="19"/>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Change</w:t>
            </w:r>
          </w:p>
        </w:tc>
      </w:tr>
      <w:tr>
        <w:trPr>
          <w:trHeight w:val="216"/>
        </w:trPr>
        <w:tc>
          <w:tcPr>
            <w:tcW w:w="6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Arial" w:cs="Arial" w:eastAsia="Arial" w:hAnsi="Arial"/>
                <w:sz w:val="13"/>
                <w:szCs w:val="13"/>
                <w:b w:val="1"/>
                <w:bCs w:val="1"/>
                <w:color w:val="auto"/>
                <w:w w:val="75"/>
              </w:rPr>
              <w:t>(in</w:t>
            </w:r>
          </w:p>
        </w:tc>
        <w:tc>
          <w:tcPr>
            <w:tcW w:w="2680" w:type="dxa"/>
            <w:vAlign w:val="bottom"/>
            <w:gridSpan w:val="6"/>
          </w:tcPr>
          <w:p>
            <w:pPr>
              <w:ind w:left="100"/>
              <w:spacing w:after="0"/>
              <w:rPr>
                <w:sz w:val="20"/>
                <w:szCs w:val="20"/>
                <w:color w:val="auto"/>
              </w:rPr>
            </w:pPr>
            <w:r>
              <w:rPr>
                <w:rFonts w:ascii="Arial" w:cs="Arial" w:eastAsia="Arial" w:hAnsi="Arial"/>
                <w:sz w:val="18"/>
                <w:szCs w:val="18"/>
                <w:b w:val="1"/>
                <w:bCs w:val="1"/>
                <w:color w:val="auto"/>
                <w:w w:val="93"/>
              </w:rPr>
              <w:t>thousands, except percentages)</w:t>
            </w:r>
          </w:p>
        </w:tc>
        <w:tc>
          <w:tcPr>
            <w:tcW w:w="10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2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53"/>
              <w:spacing w:after="0"/>
              <w:rPr>
                <w:sz w:val="20"/>
                <w:szCs w:val="20"/>
                <w:color w:val="auto"/>
              </w:rPr>
            </w:pPr>
            <w:r>
              <w:rPr>
                <w:rFonts w:ascii="Arial" w:cs="Arial" w:eastAsia="Arial" w:hAnsi="Arial"/>
                <w:sz w:val="18"/>
                <w:szCs w:val="18"/>
                <w:color w:val="auto"/>
                <w:w w:val="88"/>
              </w:rPr>
              <w:t>6,065</w:t>
            </w:r>
          </w:p>
        </w:tc>
        <w:tc>
          <w:tcPr>
            <w:tcW w:w="8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3,624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2,441</w:t>
            </w:r>
          </w:p>
        </w:tc>
        <w:tc>
          <w:tcPr>
            <w:tcW w:w="10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2"/>
              </w:rPr>
              <w:t>NM</w:t>
            </w:r>
          </w:p>
        </w:tc>
      </w:tr>
    </w:tbl>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Income tax expense increased by $2.4 million to $6.1 million for the three months ended September 30, 2022 from $3.6 million for the three months ended September 30, 2021. The increase was primarily driven by the establishment of a valuation allowance to offset certain deferred tax assets at September 30, 2022, partially offset by higher pre-tax loss.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Income Attributable to Noncontrolling Interests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4"/>
          </w:tcPr>
          <w:p>
            <w:pPr>
              <w:ind w:left="160"/>
              <w:spacing w:after="0"/>
              <w:rPr>
                <w:sz w:val="20"/>
                <w:szCs w:val="20"/>
                <w:color w:val="auto"/>
              </w:rPr>
            </w:pPr>
            <w:r>
              <w:rPr>
                <w:rFonts w:ascii="Arial" w:cs="Arial" w:eastAsia="Arial" w:hAnsi="Arial"/>
                <w:sz w:val="18"/>
                <w:szCs w:val="18"/>
                <w:b w:val="1"/>
                <w:bCs w:val="1"/>
                <w:color w:val="auto"/>
                <w:w w:val="90"/>
              </w:rPr>
              <w:t>Three Months Ended</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ind w:left="440"/>
              <w:spacing w:after="0"/>
              <w:rPr>
                <w:sz w:val="20"/>
                <w:szCs w:val="20"/>
                <w:color w:val="auto"/>
              </w:rPr>
            </w:pPr>
            <w:r>
              <w:rPr>
                <w:rFonts w:ascii="Arial" w:cs="Arial" w:eastAsia="Arial" w:hAnsi="Arial"/>
                <w:sz w:val="18"/>
                <w:szCs w:val="18"/>
                <w:b w:val="1"/>
                <w:bCs w:val="1"/>
                <w:color w:val="auto"/>
              </w:rPr>
              <w:t>September 30,</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220" w:type="dxa"/>
            <w:vAlign w:val="bottom"/>
          </w:tcPr>
          <w:p>
            <w:pPr>
              <w:spacing w:after="0"/>
              <w:rPr>
                <w:sz w:val="19"/>
                <w:szCs w:val="19"/>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Change</w:t>
            </w:r>
          </w:p>
        </w:tc>
        <w:tc>
          <w:tcPr>
            <w:tcW w:w="16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1"/>
              </w:rPr>
              <w:t>(in thousands,</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7,785</w:t>
            </w:r>
          </w:p>
        </w:tc>
        <w:tc>
          <w:tcPr>
            <w:tcW w:w="860" w:type="dxa"/>
            <w:vAlign w:val="bottom"/>
            <w:gridSpan w:val="2"/>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88"/>
              </w:rPr>
              <w:t>6,570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r>
    </w:tbl>
    <w:p>
      <w:pPr>
        <w:spacing w:after="0" w:line="22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Net Income attributable to noncontrolling interests increased by $1.2 million, or 18%, to $7.8 million for the three months ended September 30, 2022 from $6.6 million for the three months ended September 30, 2021. The increase was driven by the net income generated from our consolidated VIEs associated with our risk retention holdings. This amount represents the net income of the consolidated VIEs to which we have no economic right and primarily relates to interest income earned on risk retention holdings.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Comparison of Nine Months Ended September 30, 2022 and 2021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Total Revenue and Other Income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570"/>
              <w:spacing w:after="0"/>
              <w:rPr>
                <w:sz w:val="20"/>
                <w:szCs w:val="20"/>
                <w:color w:val="auto"/>
              </w:rPr>
            </w:pPr>
            <w:r>
              <w:rPr>
                <w:rFonts w:ascii="Arial" w:cs="Arial" w:eastAsia="Arial" w:hAnsi="Arial"/>
                <w:sz w:val="18"/>
                <w:szCs w:val="18"/>
                <w:b w:val="1"/>
                <w:bCs w:val="1"/>
                <w:color w:val="auto"/>
              </w:rPr>
              <w:t>Nine Months Ended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79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Change</w:t>
            </w:r>
          </w:p>
        </w:tc>
        <w:tc>
          <w:tcPr>
            <w:tcW w:w="16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5"/>
              </w:rPr>
              <w:t>(in thousands,</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 from fees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507,241</w:t>
            </w:r>
          </w:p>
        </w:tc>
        <w:tc>
          <w:tcPr>
            <w:tcW w:w="460" w:type="dxa"/>
            <w:vAlign w:val="bottom"/>
            <w:tcBorders>
              <w:lef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301,604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205,637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43,127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10"/>
              <w:spacing w:after="0"/>
              <w:rPr>
                <w:sz w:val="20"/>
                <w:szCs w:val="20"/>
                <w:color w:val="auto"/>
              </w:rPr>
            </w:pPr>
            <w:r>
              <w:rPr>
                <w:rFonts w:ascii="Arial" w:cs="Arial" w:eastAsia="Arial" w:hAnsi="Arial"/>
                <w:sz w:val="18"/>
                <w:szCs w:val="18"/>
                <w:color w:val="auto"/>
              </w:rPr>
              <w:t>18,256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24,871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(loss)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22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5,672</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NM</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Total Revenue and Other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556,038</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319,858</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236,180</w:t>
            </w:r>
          </w:p>
        </w:tc>
        <w:tc>
          <w:tcPr>
            <w:tcW w:w="2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r>
      <w:tr>
        <w:trPr>
          <w:trHeight w:val="27"/>
        </w:trPr>
        <w:tc>
          <w:tcPr>
            <w:tcW w:w="5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Total revenue and other income, increased by $236.2 million, or 74%, to $556.0 million for the nine months ended September 30, 2022 from $319.9 million for the nine months ended September 30, 2021. The increase was primarily driven by an increase in revenue from fees, which in turn is primarily related to the increase in Network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8" w:name="page29"/>
    <w:bookmarkEnd w:id="28"/>
    <w:p>
      <w:pPr>
        <w:spacing w:after="0" w:line="59"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Revenue from fees increased by $205.6 million, or 68%, to $507.2 million for the nine months ended September 30, 2022 from $301.6 million for the nine months ended September 30, 2021. The increase is directly correlated with the growth in Network Volume, which increased by 68% from $3.3 billion for the nine months ended September 30, 2021 to $5.5 billion for the nine months ended September 30, 2022. Network Volume is a function of supply from existing and new Partners, as well as market demand for the originated assets. Market demand for the originated assets, as represented by assets held by Financing Vehicles, grew 28% to $5.0 billion as of September 30, 2022, from $3.9 billion as of September 30, 2021.</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Interest income increased by $24.9 million, or 136%, to $43.1 million for the nine months ended September 30, 2022 from $18.3 million for the nine months ended September 30, 2021. The increase in Interest income is directly related to our risk retention holdings held in the Company’s consolidated VIEs as well as certain risk retention holdings held directly by the Company’s consolidated subsidiaries.</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Investment income increased by $5.7 million to $5.7 million for the nine months ended September 30, 2022 from $0.0 million for nine months ended September 30, 2021. Investment income during the nine months ended September 30, 2022 primarily relates to the returns from certain proprietary investments which did not exist during the nine months ended September 30, 2021.</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Costs and Operating Expenses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22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44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ind w:left="44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Production costs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181,505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127,379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51,344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90,229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37,564</w:t>
            </w:r>
          </w:p>
        </w:tc>
      </w:tr>
      <w:tr>
        <w:trPr>
          <w:trHeight w:val="250"/>
        </w:trPr>
        <w:tc>
          <w:tcPr>
            <w:tcW w:w="86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236,863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53,068</w:t>
            </w:r>
          </w:p>
        </w:tc>
      </w:tr>
      <w:tr>
        <w:trPr>
          <w:trHeight w:val="250"/>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Costs and Operating Expenses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780,846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323,481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Production Costs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6"/>
          </w:tcPr>
          <w:p>
            <w:pPr>
              <w:jc w:val="center"/>
              <w:ind w:right="350"/>
              <w:spacing w:after="0"/>
              <w:rPr>
                <w:sz w:val="20"/>
                <w:szCs w:val="20"/>
                <w:color w:val="auto"/>
              </w:rPr>
            </w:pPr>
            <w:r>
              <w:rPr>
                <w:rFonts w:ascii="Arial" w:cs="Arial" w:eastAsia="Arial" w:hAnsi="Arial"/>
                <w:sz w:val="18"/>
                <w:szCs w:val="18"/>
                <w:b w:val="1"/>
                <w:bCs w:val="1"/>
                <w:color w:val="auto"/>
                <w:w w:val="91"/>
              </w:rPr>
              <w:t>Nine Months Ended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6"/>
          </w:tcPr>
          <w:p>
            <w:pPr>
              <w:jc w:val="center"/>
              <w:ind w:right="35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220" w:type="dxa"/>
            <w:vAlign w:val="bottom"/>
          </w:tcPr>
          <w:p>
            <w:pPr>
              <w:spacing w:after="0"/>
              <w:rPr>
                <w:sz w:val="19"/>
                <w:szCs w:val="19"/>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Change</w:t>
            </w:r>
          </w:p>
        </w:tc>
        <w:tc>
          <w:tcPr>
            <w:tcW w:w="16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1"/>
              </w:rPr>
              <w:t>(in thousands,</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Production costs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326,375</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181,505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144,870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Production costs increased by $144.9 million, or 80%, to $326.4 million for the nine months ended September 30, 2022 from $181.5 million for the nine months ended September 30, 2021. This increase was primarily due to increases in Network Volume and the composition of the asset classes that make up our Network Volume.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Research and Development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6"/>
          </w:tcPr>
          <w:p>
            <w:pPr>
              <w:jc w:val="center"/>
              <w:ind w:right="350"/>
              <w:spacing w:after="0"/>
              <w:rPr>
                <w:sz w:val="20"/>
                <w:szCs w:val="20"/>
                <w:color w:val="auto"/>
              </w:rPr>
            </w:pPr>
            <w:r>
              <w:rPr>
                <w:rFonts w:ascii="Arial" w:cs="Arial" w:eastAsia="Arial" w:hAnsi="Arial"/>
                <w:sz w:val="18"/>
                <w:szCs w:val="18"/>
                <w:b w:val="1"/>
                <w:bCs w:val="1"/>
                <w:color w:val="auto"/>
                <w:w w:val="91"/>
              </w:rPr>
              <w:t>Nine Months Ended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6"/>
          </w:tcPr>
          <w:p>
            <w:pPr>
              <w:jc w:val="center"/>
              <w:ind w:right="35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220" w:type="dxa"/>
            <w:vAlign w:val="bottom"/>
          </w:tcPr>
          <w:p>
            <w:pPr>
              <w:spacing w:after="0"/>
              <w:rPr>
                <w:sz w:val="19"/>
                <w:szCs w:val="19"/>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Change</w:t>
            </w:r>
          </w:p>
        </w:tc>
        <w:tc>
          <w:tcPr>
            <w:tcW w:w="160" w:type="dxa"/>
            <w:vAlign w:val="bottom"/>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1"/>
              </w:rPr>
              <w:t>(in thousands,</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127,379</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51,344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76,035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w:t>
            </w:r>
          </w:p>
        </w:tc>
      </w:tr>
    </w:tbl>
    <w:p>
      <w:pPr>
        <w:spacing w:after="0" w:line="22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Research and development costs increased by $76.0 million, or 148%, to $127.4 million for the nine months ended September 30, 2022 from $51.3 million for the nine months ended September 30, 2021. This increase was primarily due to a $63.1 million increase in personnel-related expenses, including a $50.2 million increase in share-based compensation expenses, due to the growth in employees and the share-based compensation expense incurred during the nine months ended September 30, 2022 related to the acceleration of vesting of certain performance awards upon the completion of the business combination with EJF Acquisition Corp. (the “Business Combination”), a $6.1 million increase in professional services, a $4.0 million increase in overhead allocation and other miscellaneous costs, and a $2.9 million increase in server costs. Headcount in research and development increased by 58% between September 30, 2021 and September 30, 2022.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Sales and Marketing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6"/>
          </w:tcPr>
          <w:p>
            <w:pPr>
              <w:jc w:val="center"/>
              <w:ind w:right="350"/>
              <w:spacing w:after="0"/>
              <w:rPr>
                <w:sz w:val="20"/>
                <w:szCs w:val="20"/>
                <w:color w:val="auto"/>
              </w:rPr>
            </w:pPr>
            <w:r>
              <w:rPr>
                <w:rFonts w:ascii="Arial" w:cs="Arial" w:eastAsia="Arial" w:hAnsi="Arial"/>
                <w:sz w:val="18"/>
                <w:szCs w:val="18"/>
                <w:b w:val="1"/>
                <w:bCs w:val="1"/>
                <w:color w:val="333333"/>
                <w:w w:val="91"/>
              </w:rPr>
              <w:t>Nine Months Ended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6"/>
          </w:tcPr>
          <w:p>
            <w:pPr>
              <w:jc w:val="center"/>
              <w:ind w:right="350"/>
              <w:spacing w:after="0"/>
              <w:rPr>
                <w:sz w:val="20"/>
                <w:szCs w:val="20"/>
                <w:color w:val="auto"/>
              </w:rPr>
            </w:pPr>
            <w:r>
              <w:rPr>
                <w:rFonts w:ascii="Arial" w:cs="Arial" w:eastAsia="Arial" w:hAnsi="Arial"/>
                <w:sz w:val="18"/>
                <w:szCs w:val="18"/>
                <w:b w:val="1"/>
                <w:bCs w:val="1"/>
                <w:color w:val="333333"/>
                <w:w w:val="89"/>
              </w:rPr>
              <w:t>September 30,</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220" w:type="dxa"/>
            <w:vAlign w:val="bottom"/>
          </w:tcPr>
          <w:p>
            <w:pPr>
              <w:spacing w:after="0"/>
              <w:rPr>
                <w:sz w:val="19"/>
                <w:szCs w:val="19"/>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Change</w:t>
            </w:r>
          </w:p>
        </w:tc>
        <w:tc>
          <w:tcPr>
            <w:tcW w:w="160" w:type="dxa"/>
            <w:vAlign w:val="bottom"/>
          </w:tcPr>
          <w:p>
            <w:pPr>
              <w:spacing w:after="0"/>
              <w:rPr>
                <w:sz w:val="19"/>
                <w:szCs w:val="19"/>
                <w:color w:val="auto"/>
              </w:rPr>
            </w:pPr>
          </w:p>
        </w:tc>
      </w:tr>
      <w:tr>
        <w:trPr>
          <w:trHeight w:val="239"/>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1"/>
              </w:rPr>
              <w:t>(in thousands,</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90,229</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37,564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52,665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r>
    </w:tbl>
    <w:p>
      <w:pPr>
        <w:spacing w:after="0" w:line="200" w:lineRule="exact"/>
        <w:rPr>
          <w:sz w:val="20"/>
          <w:szCs w:val="20"/>
          <w:color w:val="auto"/>
        </w:rPr>
      </w:pPr>
    </w:p>
    <w:p>
      <w:pPr>
        <w:sectPr>
          <w:pgSz w:w="11900" w:h="16898" w:orient="portrait"/>
          <w:cols w:equalWidth="0" w:num="1">
            <w:col w:w="11240"/>
          </w:cols>
          <w:pgMar w:left="320" w:top="118" w:right="339" w:bottom="0" w:gutter="0" w:footer="0" w:header="0"/>
        </w:sectPr>
      </w:pPr>
    </w:p>
    <w:p>
      <w:pPr>
        <w:spacing w:after="0" w:line="2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Sales and marketing costs increased by $52.7 million, or 140%, to $90.2 million for the nine months ended September 30, 2022 from $37.6 million for the nine months ended September 30, 2021. This increase was primarily due to a $48.1 million increase in personnel-related expenses, including a $37.1 million increase in share-based compensation expenses, due to the growth in</w:t>
      </w:r>
    </w:p>
    <w:p>
      <w:pPr>
        <w:sectPr>
          <w:pgSz w:w="11900" w:h="16898" w:orient="portrait"/>
          <w:cols w:equalWidth="0" w:num="1">
            <w:col w:w="11240"/>
          </w:cols>
          <w:pgMar w:left="320" w:top="118" w:right="339" w:bottom="0" w:gutter="0" w:footer="0" w:header="0"/>
          <w:type w:val="continuous"/>
        </w:sectPr>
      </w:pPr>
    </w:p>
    <w:bookmarkStart w:id="29" w:name="page30"/>
    <w:bookmarkEnd w:id="29"/>
    <w:p>
      <w:pPr>
        <w:jc w:val="both"/>
        <w:spacing w:after="0" w:line="238" w:lineRule="auto"/>
        <w:rPr>
          <w:sz w:val="20"/>
          <w:szCs w:val="20"/>
          <w:color w:val="auto"/>
        </w:rPr>
      </w:pPr>
      <w:r>
        <w:rPr>
          <w:rFonts w:ascii="Arial" w:cs="Arial" w:eastAsia="Arial" w:hAnsi="Arial"/>
          <w:sz w:val="22"/>
          <w:szCs w:val="22"/>
          <w:color w:val="auto"/>
        </w:rPr>
        <w:t>employees and the share-based compensation expense incurred during the nine months ended September 30, 2022 related to the acceleration of vesting of certain performance awards upon the completion of the Business Combination, and a $3.4 million increase in overhead allocation and other miscellaneous costs. Headcount in sales and marketing increased by 26% between September 30, 2021 and September 30, 2022.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 and Administrative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6"/>
          </w:tcPr>
          <w:p>
            <w:pPr>
              <w:jc w:val="center"/>
              <w:ind w:right="350"/>
              <w:spacing w:after="0"/>
              <w:rPr>
                <w:sz w:val="20"/>
                <w:szCs w:val="20"/>
                <w:color w:val="auto"/>
              </w:rPr>
            </w:pPr>
            <w:r>
              <w:rPr>
                <w:rFonts w:ascii="Arial" w:cs="Arial" w:eastAsia="Arial" w:hAnsi="Arial"/>
                <w:sz w:val="18"/>
                <w:szCs w:val="18"/>
                <w:b w:val="1"/>
                <w:bCs w:val="1"/>
                <w:color w:val="333333"/>
                <w:w w:val="91"/>
              </w:rPr>
              <w:t>Nine Months Ended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6"/>
          </w:tcPr>
          <w:p>
            <w:pPr>
              <w:jc w:val="center"/>
              <w:ind w:right="350"/>
              <w:spacing w:after="0"/>
              <w:rPr>
                <w:sz w:val="20"/>
                <w:szCs w:val="20"/>
                <w:color w:val="auto"/>
              </w:rPr>
            </w:pPr>
            <w:r>
              <w:rPr>
                <w:rFonts w:ascii="Arial" w:cs="Arial" w:eastAsia="Arial" w:hAnsi="Arial"/>
                <w:sz w:val="18"/>
                <w:szCs w:val="18"/>
                <w:b w:val="1"/>
                <w:bCs w:val="1"/>
                <w:color w:val="333333"/>
                <w:w w:val="89"/>
              </w:rPr>
              <w:t>September 30,</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220" w:type="dxa"/>
            <w:vAlign w:val="bottom"/>
          </w:tcPr>
          <w:p>
            <w:pPr>
              <w:spacing w:after="0"/>
              <w:rPr>
                <w:sz w:val="19"/>
                <w:szCs w:val="19"/>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Change</w:t>
            </w:r>
          </w:p>
        </w:tc>
        <w:tc>
          <w:tcPr>
            <w:tcW w:w="160" w:type="dxa"/>
            <w:vAlign w:val="bottom"/>
          </w:tcPr>
          <w:p>
            <w:pPr>
              <w:spacing w:after="0"/>
              <w:rPr>
                <w:sz w:val="19"/>
                <w:szCs w:val="19"/>
                <w:color w:val="auto"/>
              </w:rPr>
            </w:pPr>
          </w:p>
        </w:tc>
      </w:tr>
      <w:tr>
        <w:trPr>
          <w:trHeight w:val="239"/>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1"/>
              </w:rPr>
              <w:t>(in thousands,</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236,863</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53,068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183,795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w:t>
            </w:r>
          </w:p>
        </w:tc>
      </w:tr>
    </w:tbl>
    <w:p>
      <w:pPr>
        <w:spacing w:after="0" w:line="22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General and administrative costs increased by $183.8 million, or 346%, to $236.9 million for the nine months ended September 30, 2022 from $53.1 million for the nine months ended September 30, 2021. This increase was primarily due to a $101.9 million increase in personnel-related expenses, including a $72.7 million increase in share-based compensation expenses, due to the growth in employees and the share-based compensation expense incurred during the nine months ended September 30, 2022 related to the acceleration of vesting of certain performance awards upon the completion of the Business Combination, a $49.4 million increase in expenses related to the public company readiness, legal and other business-related professional services, a $28.5 million increase in miscellaneous costs, including overhead allocations, and a $3.9 million increase in computer maintenance and communications expenses. Headcount in general and administrative increased by 113% between September 30, 2021 and September 30, 2022.</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Income (Loss), net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7"/>
          </w:tcPr>
          <w:p>
            <w:pPr>
              <w:jc w:val="center"/>
              <w:ind w:right="620"/>
              <w:spacing w:after="0"/>
              <w:rPr>
                <w:sz w:val="20"/>
                <w:szCs w:val="20"/>
                <w:color w:val="auto"/>
              </w:rPr>
            </w:pPr>
            <w:r>
              <w:rPr>
                <w:rFonts w:ascii="Arial" w:cs="Arial" w:eastAsia="Arial" w:hAnsi="Arial"/>
                <w:sz w:val="18"/>
                <w:szCs w:val="18"/>
                <w:b w:val="1"/>
                <w:bCs w:val="1"/>
                <w:color w:val="333333"/>
                <w:w w:val="91"/>
              </w:rPr>
              <w:t>Nine Months Ended</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7"/>
          </w:tcPr>
          <w:p>
            <w:pPr>
              <w:jc w:val="center"/>
              <w:ind w:right="620"/>
              <w:spacing w:after="0"/>
              <w:rPr>
                <w:sz w:val="20"/>
                <w:szCs w:val="20"/>
                <w:color w:val="auto"/>
              </w:rPr>
            </w:pPr>
            <w:r>
              <w:rPr>
                <w:rFonts w:ascii="Arial" w:cs="Arial" w:eastAsia="Arial" w:hAnsi="Arial"/>
                <w:sz w:val="18"/>
                <w:szCs w:val="18"/>
                <w:b w:val="1"/>
                <w:bCs w:val="1"/>
                <w:color w:val="333333"/>
                <w:w w:val="89"/>
              </w:rPr>
              <w:t>September 30,</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220" w:type="dxa"/>
            <w:vAlign w:val="bottom"/>
          </w:tcPr>
          <w:p>
            <w:pPr>
              <w:spacing w:after="0"/>
              <w:rPr>
                <w:sz w:val="19"/>
                <w:szCs w:val="19"/>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Change</w:t>
            </w:r>
          </w:p>
        </w:tc>
        <w:tc>
          <w:tcPr>
            <w:tcW w:w="160" w:type="dxa"/>
            <w:vAlign w:val="bottom"/>
          </w:tcPr>
          <w:p>
            <w:pPr>
              <w:spacing w:after="0"/>
              <w:rPr>
                <w:sz w:val="19"/>
                <w:szCs w:val="19"/>
                <w:color w:val="auto"/>
              </w:rPr>
            </w:pPr>
          </w:p>
        </w:tc>
      </w:tr>
      <w:tr>
        <w:trPr>
          <w:trHeight w:val="239"/>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1"/>
              </w:rPr>
              <w:t>(in thousands,</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 net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9,846</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(51,539)  $</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61,385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w:t>
            </w: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Other income (loss), net increased by $61.4 million to an income of $9.8 million for the nine months ended September 30, 2022 from a loss of $51.5 million for the nine months ended September 30, 2021. The increase was primarily due to a $60.9 million favorable impact from the changes in fair value remeasurement of warrants.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 Expense (Benefit)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6"/>
          </w:tcPr>
          <w:p>
            <w:pPr>
              <w:jc w:val="center"/>
              <w:ind w:right="350"/>
              <w:spacing w:after="0"/>
              <w:rPr>
                <w:sz w:val="20"/>
                <w:szCs w:val="20"/>
                <w:color w:val="auto"/>
              </w:rPr>
            </w:pPr>
            <w:r>
              <w:rPr>
                <w:rFonts w:ascii="Arial" w:cs="Arial" w:eastAsia="Arial" w:hAnsi="Arial"/>
                <w:sz w:val="18"/>
                <w:szCs w:val="18"/>
                <w:b w:val="1"/>
                <w:bCs w:val="1"/>
                <w:color w:val="333333"/>
                <w:w w:val="91"/>
              </w:rPr>
              <w:t>Nine Months Ended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6"/>
          </w:tcPr>
          <w:p>
            <w:pPr>
              <w:jc w:val="center"/>
              <w:ind w:right="350"/>
              <w:spacing w:after="0"/>
              <w:rPr>
                <w:sz w:val="20"/>
                <w:szCs w:val="20"/>
                <w:color w:val="auto"/>
              </w:rPr>
            </w:pPr>
            <w:r>
              <w:rPr>
                <w:rFonts w:ascii="Arial" w:cs="Arial" w:eastAsia="Arial" w:hAnsi="Arial"/>
                <w:sz w:val="18"/>
                <w:szCs w:val="18"/>
                <w:b w:val="1"/>
                <w:bCs w:val="1"/>
                <w:color w:val="333333"/>
                <w:w w:val="89"/>
              </w:rPr>
              <w:t>September 30,</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220" w:type="dxa"/>
            <w:vAlign w:val="bottom"/>
          </w:tcPr>
          <w:p>
            <w:pPr>
              <w:spacing w:after="0"/>
              <w:rPr>
                <w:sz w:val="19"/>
                <w:szCs w:val="19"/>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Change</w:t>
            </w:r>
          </w:p>
        </w:tc>
        <w:tc>
          <w:tcPr>
            <w:tcW w:w="160" w:type="dxa"/>
            <w:vAlign w:val="bottom"/>
          </w:tcPr>
          <w:p>
            <w:pPr>
              <w:spacing w:after="0"/>
              <w:rPr>
                <w:sz w:val="19"/>
                <w:szCs w:val="19"/>
                <w:color w:val="auto"/>
              </w:rPr>
            </w:pPr>
          </w:p>
        </w:tc>
      </w:tr>
      <w:tr>
        <w:trPr>
          <w:trHeight w:val="239"/>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1"/>
              </w:rPr>
              <w:t>(in thousands,</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25,604</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11,417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14,187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r>
    </w:tbl>
    <w:p>
      <w:pPr>
        <w:spacing w:after="0" w:line="22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Income tax expense increased by $14.2 million, or 124%, to $25.6 million for the nine months ended September 30, 2022 from $11.4 million for the nine months ended September 30, 2021. The increase was primarily driven by the establishment of a valuation allowance to offset certain deferred tax assets at September 30, 2022, partially offset by higher pre-tax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Arial" w:cs="Arial" w:eastAsia="Arial" w:hAnsi="Arial"/>
          <w:sz w:val="22"/>
          <w:szCs w:val="22"/>
          <w:b w:val="1"/>
          <w:bCs w:val="1"/>
          <w:color w:val="auto"/>
        </w:rPr>
        <w:t>Net Income Attributable to Noncontrolling Interests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6"/>
          </w:tcPr>
          <w:p>
            <w:pPr>
              <w:jc w:val="center"/>
              <w:ind w:right="350"/>
              <w:spacing w:after="0"/>
              <w:rPr>
                <w:sz w:val="20"/>
                <w:szCs w:val="20"/>
                <w:color w:val="auto"/>
              </w:rPr>
            </w:pPr>
            <w:r>
              <w:rPr>
                <w:rFonts w:ascii="Arial" w:cs="Arial" w:eastAsia="Arial" w:hAnsi="Arial"/>
                <w:sz w:val="18"/>
                <w:szCs w:val="18"/>
                <w:b w:val="1"/>
                <w:bCs w:val="1"/>
                <w:color w:val="333333"/>
                <w:w w:val="91"/>
              </w:rPr>
              <w:t>Nine Months Ended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6"/>
          </w:tcPr>
          <w:p>
            <w:pPr>
              <w:jc w:val="center"/>
              <w:ind w:right="350"/>
              <w:spacing w:after="0"/>
              <w:rPr>
                <w:sz w:val="20"/>
                <w:szCs w:val="20"/>
                <w:color w:val="auto"/>
              </w:rPr>
            </w:pPr>
            <w:r>
              <w:rPr>
                <w:rFonts w:ascii="Arial" w:cs="Arial" w:eastAsia="Arial" w:hAnsi="Arial"/>
                <w:sz w:val="18"/>
                <w:szCs w:val="18"/>
                <w:b w:val="1"/>
                <w:bCs w:val="1"/>
                <w:color w:val="333333"/>
                <w:w w:val="89"/>
              </w:rPr>
              <w:t>September 30,</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Change</w:t>
            </w:r>
          </w:p>
        </w:tc>
        <w:tc>
          <w:tcPr>
            <w:tcW w:w="220" w:type="dxa"/>
            <w:vAlign w:val="bottom"/>
          </w:tcPr>
          <w:p>
            <w:pPr>
              <w:spacing w:after="0"/>
              <w:rPr>
                <w:sz w:val="19"/>
                <w:szCs w:val="19"/>
                <w:color w:val="auto"/>
              </w:rPr>
            </w:pPr>
          </w:p>
        </w:tc>
        <w:tc>
          <w:tcPr>
            <w:tcW w:w="11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Change</w:t>
            </w:r>
          </w:p>
        </w:tc>
        <w:tc>
          <w:tcPr>
            <w:tcW w:w="160" w:type="dxa"/>
            <w:vAlign w:val="bottom"/>
          </w:tcPr>
          <w:p>
            <w:pPr>
              <w:spacing w:after="0"/>
              <w:rPr>
                <w:sz w:val="19"/>
                <w:szCs w:val="19"/>
                <w:color w:val="auto"/>
              </w:rPr>
            </w:pPr>
          </w:p>
        </w:tc>
      </w:tr>
      <w:tr>
        <w:trPr>
          <w:trHeight w:val="239"/>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1"/>
              </w:rPr>
              <w:t>(in thousands,</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27,757</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14,116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13,641</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r>
    </w:tbl>
    <w:p>
      <w:pPr>
        <w:spacing w:after="0" w:line="22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Net Income attributable to noncontrolling interests increased by $13.6 million, or 97%, to $27.8 million for the nine months ended September 30, 2022 from $14.1 million for the nine months ended September 30, 2021. The increase was driven by the net income generated from our consolidated VIEs associated with our risk retention holdings. This amount represents the net income of the consolidated VIEs to which we have no economic right and primarily relates to interest income earned on risk retention holdings.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Reconciliation of Non-GAAP Financial Measures</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To supplement our consolidated financial statements prepared and presented in accordance with GAAP, we use the non-GAAP financial measures Adjusted Net Income (Loss) and Adjusted EBITDA to provide investors with additional information about our financial performance and to enhance the overall understanding of the results of operations by highlighting the results from ongoing operations and the underlying profitability of our business. We are presenting these non-GAAP financial measures because we believe they provide an additional tool for investors to use in comparing our core financial performance over multiple periods with the performance of other companies.</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However, non-GAAP financial measures have limitations in their usefulness to investors because they have no standardized meaning prescribed by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consolidated financial statements prepared and presented in accordance with GAAP.</w:t>
      </w:r>
    </w:p>
    <w:p>
      <w:pPr>
        <w:spacing w:after="0" w:line="17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To address these limitations, we provide a reconciliation of Adjusted Net Income (Loss) and Adjusted EBITDA to net income (loss) attributable to Pagaya’s shareholders. We encourage investors and others to review our financial information in its entirety, not to rely on any single financial measure and to view Adjusted Net Income (Loss) and Adjusted EBITDA in conjunction with their respective related GAAP financial measures.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Adjusted Net Income (Loss) and Adjusted EBITDA</w:t>
      </w:r>
    </w:p>
    <w:p>
      <w:pPr>
        <w:spacing w:after="0" w:line="239" w:lineRule="exact"/>
        <w:rPr>
          <w:sz w:val="20"/>
          <w:szCs w:val="20"/>
          <w:color w:val="auto"/>
        </w:rPr>
      </w:pPr>
    </w:p>
    <w:p>
      <w:pPr>
        <w:ind w:right="620"/>
        <w:spacing w:after="0" w:line="250" w:lineRule="auto"/>
        <w:rPr>
          <w:sz w:val="20"/>
          <w:szCs w:val="20"/>
          <w:color w:val="auto"/>
        </w:rPr>
      </w:pPr>
      <w:r>
        <w:rPr>
          <w:rFonts w:ascii="Arial" w:cs="Arial" w:eastAsia="Arial" w:hAnsi="Arial"/>
          <w:sz w:val="22"/>
          <w:szCs w:val="22"/>
          <w:color w:val="auto"/>
        </w:rPr>
        <w:t>Adjusted Net Income (Loss) and Adjusted EBITDA for the three and nine months ended September 30, 2022 and 2021 are summarized below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4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(14,440</w:t>
            </w:r>
          </w:p>
        </w:tc>
        <w:tc>
          <w:tcPr>
            <w:tcW w:w="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11,283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(28,981</w:t>
            </w: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36,879</w:t>
            </w: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Adjusted EBITDA</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1"/>
              <w:spacing w:after="0"/>
              <w:rPr>
                <w:sz w:val="20"/>
                <w:szCs w:val="20"/>
                <w:color w:val="auto"/>
              </w:rPr>
            </w:pPr>
            <w:r>
              <w:rPr>
                <w:rFonts w:ascii="Arial" w:cs="Arial" w:eastAsia="Arial" w:hAnsi="Arial"/>
                <w:sz w:val="18"/>
                <w:szCs w:val="18"/>
                <w:color w:val="auto"/>
              </w:rPr>
              <w:t>(5,203)</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15,114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4,120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48,785</w:t>
            </w:r>
          </w:p>
        </w:tc>
      </w:tr>
    </w:tbl>
    <w:p>
      <w:pPr>
        <w:spacing w:after="0" w:line="22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Adjusted Net Income (Loss) is defined as net income (loss) attributable to Pagaya’s shareholders excluding share-based compensation expense, change in fair value of warrant liability, and non-recurring expenses associated with the Business Combination. Adjusted EBITDA is defined as net income (loss) attributable to Pagaya’s shareholders excluding share-based compensation expense, change in fair value of warrant liability, non-recurring expenses associated with the Business Combination, interest expense, depreciation expense, and provision for income taxes.</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These items are excluded from our Adjusted Net Income (Loss) and Adjusted EBITDA measures because they are noncash in nature, or because the amount and timing of these items is unpredictable, is not driven by core results of operations and renders comparisons with prior periods and competitors less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1" w:name="page32"/>
    <w:bookmarkEnd w:id="31"/>
    <w:p>
      <w:pPr>
        <w:jc w:val="both"/>
        <w:spacing w:after="0" w:line="234" w:lineRule="auto"/>
        <w:rPr>
          <w:sz w:val="20"/>
          <w:szCs w:val="20"/>
          <w:color w:val="auto"/>
        </w:rPr>
      </w:pPr>
      <w:r>
        <w:rPr>
          <w:rFonts w:ascii="Arial" w:cs="Arial" w:eastAsia="Arial" w:hAnsi="Arial"/>
          <w:sz w:val="22"/>
          <w:szCs w:val="22"/>
          <w:color w:val="auto"/>
        </w:rPr>
        <w:t>We believe Adjusted Net Income (Loss) and Adjusted EBITDA provide useful information to investors and others in understanding and evaluating our results of operations, as well as providing a useful measure for period-to-period comparisons of our business performance. Moreover, we have included Adjusted Net Income (Loss) and Adjusted EBITDA because these are key measurements used by our management internally to make operating decisions, including those related to operating expenses, evaluate performance, and perform strategic planning and annual budgeting. However, this non-GAAP financial information is presented for supplemental informational purposes only, should not be considered a substitute for or superior to financial information presented in accordance with GAAP and may be different from similarly titled non-GAAP financial measures used by other companies.</w:t>
      </w:r>
    </w:p>
    <w:p>
      <w:pPr>
        <w:spacing w:after="0" w:line="214"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following table presents a reconciliation of net income (loss) attributable to Pagaya shareholders, the most directly comparable GAAP measure, to Adjusted Net Income (Loss) and Adjusted EBITDA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581"/>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281"/>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841"/>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281"/>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59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43"/>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Pagaya Technologies Ltd.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(74,789</w:t>
            </w:r>
          </w:p>
        </w:tc>
        <w:tc>
          <w:tcPr>
            <w:tcW w:w="2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(28,157</w:t>
            </w: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(268,323</w:t>
            </w: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(80,695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Adjusted to exclude the following:</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60,302</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3,857</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223,007</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62,974</w:t>
            </w: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Fair value adjustment to warrant liability</w:t>
            </w:r>
          </w:p>
        </w:tc>
        <w:tc>
          <w:tcPr>
            <w:tcW w:w="240" w:type="dxa"/>
            <w:vAlign w:val="bottom"/>
          </w:tcPr>
          <w:p>
            <w:pPr>
              <w:spacing w:after="0"/>
              <w:rPr>
                <w:sz w:val="21"/>
                <w:szCs w:val="21"/>
                <w:color w:val="auto"/>
              </w:rPr>
            </w:pPr>
          </w:p>
        </w:tc>
        <w:tc>
          <w:tcPr>
            <w:tcW w:w="1140" w:type="dxa"/>
            <w:vAlign w:val="bottom"/>
            <w:gridSpan w:val="2"/>
          </w:tcPr>
          <w:p>
            <w:pPr>
              <w:jc w:val="right"/>
              <w:ind w:right="121"/>
              <w:spacing w:after="0"/>
              <w:rPr>
                <w:sz w:val="20"/>
                <w:szCs w:val="20"/>
                <w:color w:val="auto"/>
              </w:rPr>
            </w:pPr>
            <w:r>
              <w:rPr>
                <w:rFonts w:ascii="Arial" w:cs="Arial" w:eastAsia="Arial" w:hAnsi="Arial"/>
                <w:sz w:val="18"/>
                <w:szCs w:val="18"/>
                <w:color w:val="auto"/>
              </w:rPr>
              <w:t>(3,000)</w:t>
            </w:r>
          </w:p>
        </w:tc>
        <w:tc>
          <w:tcPr>
            <w:tcW w:w="240" w:type="dxa"/>
            <w:vAlign w:val="bottom"/>
          </w:tcPr>
          <w:p>
            <w:pPr>
              <w:spacing w:after="0"/>
              <w:rPr>
                <w:sz w:val="21"/>
                <w:szCs w:val="21"/>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32,460</w:t>
            </w:r>
          </w:p>
        </w:tc>
        <w:tc>
          <w:tcPr>
            <w:tcW w:w="240" w:type="dxa"/>
            <w:vAlign w:val="bottom"/>
          </w:tcPr>
          <w:p>
            <w:pPr>
              <w:spacing w:after="0"/>
              <w:rPr>
                <w:sz w:val="21"/>
                <w:szCs w:val="21"/>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(9,408)</w:t>
            </w:r>
          </w:p>
        </w:tc>
        <w:tc>
          <w:tcPr>
            <w:tcW w:w="24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51,477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Non-recurring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3,123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25,743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3,123</w:t>
            </w:r>
          </w:p>
        </w:tc>
      </w:tr>
      <w:tr>
        <w:trPr>
          <w:trHeight w:val="27"/>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43"/>
        </w:trPr>
        <w:tc>
          <w:tcPr>
            <w:tcW w:w="5980" w:type="dxa"/>
            <w:vAlign w:val="bottom"/>
          </w:tcPr>
          <w:p>
            <w:pPr>
              <w:spacing w:after="0"/>
              <w:rPr>
                <w:sz w:val="20"/>
                <w:szCs w:val="20"/>
                <w:color w:val="auto"/>
              </w:rPr>
            </w:pPr>
            <w:r>
              <w:rPr>
                <w:rFonts w:ascii="Arial" w:cs="Arial" w:eastAsia="Arial" w:hAnsi="Arial"/>
                <w:sz w:val="18"/>
                <w:szCs w:val="18"/>
                <w:b w:val="1"/>
                <w:bCs w:val="1"/>
                <w:color w:val="auto"/>
              </w:rPr>
              <w:t>Adjusted Net Income (Loss)</w:t>
            </w:r>
          </w:p>
        </w:tc>
        <w:tc>
          <w:tcPr>
            <w:tcW w:w="240" w:type="dxa"/>
            <w:vAlign w:val="bottom"/>
          </w:tcPr>
          <w:p>
            <w:pPr>
              <w:spacing w:after="0"/>
              <w:rPr>
                <w:sz w:val="21"/>
                <w:szCs w:val="21"/>
                <w:color w:val="auto"/>
              </w:rPr>
            </w:pPr>
          </w:p>
        </w:tc>
        <w:tc>
          <w:tcPr>
            <w:tcW w:w="1140" w:type="dxa"/>
            <w:vAlign w:val="bottom"/>
            <w:gridSpan w:val="2"/>
          </w:tcPr>
          <w:p>
            <w:pPr>
              <w:jc w:val="right"/>
              <w:ind w:right="121"/>
              <w:spacing w:after="0"/>
              <w:rPr>
                <w:sz w:val="20"/>
                <w:szCs w:val="20"/>
                <w:color w:val="auto"/>
              </w:rPr>
            </w:pPr>
            <w:r>
              <w:rPr>
                <w:rFonts w:ascii="Arial" w:cs="Arial" w:eastAsia="Arial" w:hAnsi="Arial"/>
                <w:sz w:val="18"/>
                <w:szCs w:val="18"/>
                <w:color w:val="auto"/>
              </w:rPr>
              <w:t>(14,440)</w:t>
            </w:r>
          </w:p>
        </w:tc>
        <w:tc>
          <w:tcPr>
            <w:tcW w:w="240" w:type="dxa"/>
            <w:vAlign w:val="bottom"/>
          </w:tcPr>
          <w:p>
            <w:pPr>
              <w:spacing w:after="0"/>
              <w:rPr>
                <w:sz w:val="21"/>
                <w:szCs w:val="21"/>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11,283</w:t>
            </w:r>
          </w:p>
        </w:tc>
        <w:tc>
          <w:tcPr>
            <w:tcW w:w="240" w:type="dxa"/>
            <w:vAlign w:val="bottom"/>
          </w:tcPr>
          <w:p>
            <w:pPr>
              <w:spacing w:after="0"/>
              <w:rPr>
                <w:sz w:val="21"/>
                <w:szCs w:val="21"/>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(28,981)</w:t>
            </w:r>
          </w:p>
        </w:tc>
        <w:tc>
          <w:tcPr>
            <w:tcW w:w="24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36,879</w:t>
            </w:r>
          </w:p>
        </w:tc>
      </w:tr>
      <w:tr>
        <w:trPr>
          <w:trHeight w:val="24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Adjusted to exclude the following:</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5980" w:type="dxa"/>
            <w:vAlign w:val="bottom"/>
          </w:tcPr>
          <w:p>
            <w:pPr>
              <w:spacing w:after="0"/>
              <w:rPr>
                <w:sz w:val="20"/>
                <w:szCs w:val="20"/>
                <w:color w:val="auto"/>
              </w:rPr>
            </w:pPr>
            <w:r>
              <w:rPr>
                <w:rFonts w:ascii="Arial" w:cs="Arial" w:eastAsia="Arial" w:hAnsi="Arial"/>
                <w:sz w:val="18"/>
                <w:szCs w:val="18"/>
                <w:color w:val="auto"/>
              </w:rPr>
              <w:t>Interest expenses</w:t>
            </w:r>
          </w:p>
        </w:tc>
        <w:tc>
          <w:tcPr>
            <w:tcW w:w="240" w:type="dxa"/>
            <w:vAlign w:val="bottom"/>
          </w:tcPr>
          <w:p>
            <w:pPr>
              <w:spacing w:after="0"/>
              <w:rPr>
                <w:sz w:val="21"/>
                <w:szCs w:val="21"/>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243</w:t>
            </w:r>
          </w:p>
        </w:tc>
        <w:tc>
          <w:tcPr>
            <w:tcW w:w="240" w:type="dxa"/>
            <w:vAlign w:val="bottom"/>
          </w:tcPr>
          <w:p>
            <w:pPr>
              <w:spacing w:after="0"/>
              <w:rPr>
                <w:sz w:val="21"/>
                <w:szCs w:val="21"/>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3,420</w:t>
            </w:r>
          </w:p>
        </w:tc>
        <w:tc>
          <w:tcPr>
            <w:tcW w:w="240" w:type="dxa"/>
            <w:vAlign w:val="bottom"/>
          </w:tcPr>
          <w:p>
            <w:pPr>
              <w:spacing w:after="0"/>
              <w:rPr>
                <w:sz w:val="21"/>
                <w:szCs w:val="21"/>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4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3,624</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25,604</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11,417</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2,929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207</w:t>
            </w:r>
          </w:p>
        </w:tc>
        <w:tc>
          <w:tcPr>
            <w:tcW w:w="240" w:type="dxa"/>
            <w:vAlign w:val="bottom"/>
          </w:tcPr>
          <w:p>
            <w:pPr>
              <w:spacing w:after="0"/>
              <w:rPr>
                <w:sz w:val="19"/>
                <w:szCs w:val="19"/>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4,077</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Arial" w:cs="Arial" w:eastAsia="Arial" w:hAnsi="Arial"/>
                <w:sz w:val="18"/>
                <w:szCs w:val="18"/>
                <w:color w:val="auto"/>
              </w:rPr>
              <w:t>489</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(5,203)</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48,785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During the nine months ended September 30, 2022 and the year ended December 31, 2021, we incurred net losses attributable to shareholders of $268.3 million and $91.2 million, respectively. We had $380.2 million of accumulated deficit as of September 30, 2022 and $111.9 million of accumulated deficit as of December 31, 2021. Prior to the Business Combination and PIPE investment, we financed our operating and capital needs substantially through the private sales of equity securities.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As of September 30, 2022, the principal sources of liquidity were cash, cash equivalents and restricted cash of $366.8 million, including net proceeds from the PIPE investment. As of December 31, 2021, the principal sources of liquidity were cash and cash equivalents of $190.8 million and cash flow provided by financing activities. As of September 30, 2022, shareholders’ equity related to Pagaya was approximately $567.2 million. During the nine months ended September 30, 2022, we generated negative cash flows from operations. The primary use of operating cash flows during this period related to an increase in headcount and personnel-related costs across the business to support our growth expansion strategy.</w:t>
      </w:r>
    </w:p>
    <w:p>
      <w:pPr>
        <w:spacing w:after="0" w:line="177" w:lineRule="exact"/>
        <w:rPr>
          <w:sz w:val="20"/>
          <w:szCs w:val="20"/>
          <w:color w:val="auto"/>
        </w:rPr>
      </w:pPr>
    </w:p>
    <w:p>
      <w:pPr>
        <w:jc w:val="both"/>
        <w:spacing w:after="0"/>
        <w:rPr>
          <w:sz w:val="20"/>
          <w:szCs w:val="20"/>
          <w:color w:val="auto"/>
        </w:rPr>
      </w:pPr>
      <w:r>
        <w:rPr>
          <w:rFonts w:ascii="Arial" w:cs="Arial" w:eastAsia="Arial" w:hAnsi="Arial"/>
          <w:sz w:val="22"/>
          <w:szCs w:val="22"/>
          <w:color w:val="auto"/>
        </w:rPr>
        <w:t>Our primary requirements for liquidity and capital resources are to finance risk retention requirements, invest in research and development and to attract, recruit and retain a strong employee base. We intend to continue to make strategic investments to support our business plans.</w:t>
      </w:r>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Excluding any proceeds from the exercise of public warrants or private placement warrants, we believe that our existing cash and cash equivalents, including the net proceeds from the PIPE investment, will be sufficient to meet our working capital and capital expenditure requirements for at least the next 12 months. This estimate is based on our current business plan and expectations and assumptions in light of current macroeconomic conditions. We have based these estimates on assumptions that may prove to be wrong and could use our available capital resources sooner than we currently expect, and future capital requirements and the adequacy of available funds will depend on many factors, including those described below as well as “Risk Factors” provided in the Registration Statement and any of our subsequent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jc w:val="both"/>
        <w:spacing w:after="0" w:line="235" w:lineRule="auto"/>
        <w:rPr>
          <w:sz w:val="20"/>
          <w:szCs w:val="20"/>
          <w:color w:val="auto"/>
        </w:rPr>
      </w:pPr>
      <w:r>
        <w:rPr>
          <w:rFonts w:ascii="Arial" w:cs="Arial" w:eastAsia="Arial" w:hAnsi="Arial"/>
          <w:sz w:val="22"/>
          <w:szCs w:val="22"/>
          <w:color w:val="auto"/>
        </w:rPr>
        <w:t>There are numerous risks to the financial results, liquidity and capital raising, some of which may not be quantified in the Company’s current estimates. The principal factors that could impact liquidity and capital needs are a prolonged inability to adequately access funding in the capital markets or in bilateral agreements, including as a result of macroeconomic conditions such as rising interest rates and higher cost of capital, the timing and extent of spending to support development efforts, the expansion of sales and marketing activities, the introduction of new and enhanced products and the continuing market adoption of the Company’s network.</w:t>
      </w:r>
    </w:p>
    <w:p>
      <w:pPr>
        <w:spacing w:after="0" w:line="21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We expect to finance our cash needs and fund our operations through existing cash and cash equivalents, including the net proceeds from the PIPE investment. We also have the ability to raise additional capital, including through borrowings under the Revolving Credit Facility pursuant to which we can borrow up to an initial amount of $167.5 million or through the sale or issuance of equity or debt securities, including up to $300 million pursuant to the committed equity financing with B. Riley Principal Capital II as described below in the sections titled “The Committed Equity Financing.” The ownership interest of our shareholders will be, or could be, diluted as a result of sales or issuances of equity or debt securities, and the terms of any such securities may include liquidation or other preferences that adversely affect the rights of our Class A ordinary shareholders. We intend to support our liquidity and capital position by pursuing diversified sources of funding, including debt financing, equity financing, or new securitization vehicles, to provide committed liquidity in case of prolonged market uncertainty.</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Additional debt financing, such as secured or unsecured borrowings, credit facilities or corporate bonds, and equity financing, if available, may involve agreements that include covenants limiting or restricting our ability to take specific actions, such as incurring additional debt, making capital expenditures or declaring dividends. Our future capital requirements and the adequacy of available funds will depend on many factors, including those set forth in the section titled “Risk Factors” included in the Registration Statement.</w:t>
      </w:r>
    </w:p>
    <w:p>
      <w:pPr>
        <w:spacing w:after="0" w:line="214"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In addition, we will receive the proceeds from any exercise of any public warrants and private placement warrants in cash. Each public warrant and each private placement warrant that was issued and exchanged for each EJFA Private Placement Warrant in the Business Combination entitles the holder thereof to purchase one Class A Ordinary Share at a price of $11.50 per share. The aggregate amount of proceeds could be up to $169.6 million if all such warrants are exercised for cash. We expect to use any such proceeds for general corporate and working capital purposes, which would increase our liquidity, but do not need such proceeds to fund our operations.</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As of November 7, 2022, the price of our Class A Ordinary Shares was $1.28 per share. We believe the likelihood that warrant holders will exercise their public warrants and private placement warrants that were issued and exchanged for EJFA Private Placement Warrants in the Business Combination, and therefore the amount of cash proceeds that we would receive, is dependent upon the market price of Class A Ordinary Shares. If the market price for our Class A Ordinary Shares is less than $11.50 per share, we believe warrant holders will be unlikely to exercise on a cash basis their public warrants and private placement warrants that were issued and exchanged for EJFA Private Placement Warrants in the Business Combination. To the extent the public warrants and private placement warrants are exercised by warrant holders, ownership interest of our shareholders will be diluted as a result of such issuances. Moreover, the resale of Class A Ordinary Shares issuable upon the exercise of such warrants, or the perception of such sales, may cause the market price of our Class A Ordinary Shares to decline and impact our ability to raise additional financing on favorable terms. See “Risk Factors—We may need to raise additional funds in the future, including, but not limited to, through equity, debt, or convertible debt financings, to support business growth, and those funds may be unavailable on acceptable terms, or at all. As a result, we may be unable to meet our future capital requirements, which could limit our ability to grow and jeopardize our ability to continue our business” and “Risk Factors—Risks Related to Ownership of our Class A Ordinary Shares and Warrants” in the Registration Statement and any of our subsequent filings with the SEC.</w:t>
      </w:r>
    </w:p>
    <w:p>
      <w:pPr>
        <w:spacing w:after="0" w:line="19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We may, in the future, enter into arrangements to acquire or invest in complementary businesses, products, and technologies. We may be required to seek additional equity or debt financing related to such acquisitions or investments. In the event that we pursue additional financing, we may not be able to raise such financing on terms acceptable to us or at all. Additionally, as a result of any of these actions, we may be subject to restrictions and covenants in the agreements governing these transactions that may place limitations on us and we may be required to pledge collateral as security. If we are unable to raise additional capital or generate cash flows necessary to expand operations and invest in continued innovation, we may not be able to compete successfully, which would harm our business, operations and financial condition. It is also possible that the actual outcome of one or more of our plans could be materially different than expected or that one or more of the significant judgments or estimates could prove to be materially incorrect.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Arial" w:cs="Arial" w:eastAsia="Arial" w:hAnsi="Arial"/>
          <w:sz w:val="22"/>
          <w:szCs w:val="22"/>
          <w:b w:val="1"/>
          <w:bCs w:val="1"/>
          <w:color w:val="auto"/>
        </w:rPr>
        <w:t>The Committed Equity Financing</w:t>
      </w:r>
    </w:p>
    <w:p>
      <w:pPr>
        <w:spacing w:after="0" w:line="24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On August 17, 2022, we entered into the Purchase Agreement and the Registration Rights Agreement with B. B. Riley Principal Capital II. Pursuant to the Purchase Agreement, we have the right to sell to B. Riley Principal Capital II, up to $300 million of our Class A Ordinary Shares, subject to certain limitations and conditions set forth in the Purchase Agreement, from time to time during the 24-month term of the Purchase Agreement. Sales of our Class A Ordinary Shares pursuant to the Purchase Agreement, and the timing of any sales, are solely at our option, and we are under no obligation to sell any securities to B. Riley Principal Capital II under the Purchase Agreement.</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per share purchase price for the shares of Class A Ordinary Shares that we elect to sell to B. Riley Principal Capital II in a Purchase pursuant to the Purchase Agreement, if any, will be determined by reference to the volume weighted average price of our Class A Ordinary Shares (the “VWAP”) as defined within the Purchase Agreement, less a fixed 3% discount the VWAP for such Purchase Valuation Period (as defined in the Purchase Agreement). We cannot issue to B. Riley Principal Capital II more than 40,139,607 shares of Class A Ordinary Shares, which number of shares is approximately 9% of outstanding Class A Ordinary Shares immediately prior to the execution of the Purchase Agreement.</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net proceeds under the Purchase Agreement to the Company will depend on the frequency and prices at which we sell shares of our stock to B. Riley Principal Capital II.</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 consideration for B. Riley Principal Capital II’s commitment to purchase shares of Class A Ordinary Shares at our direction upon the terms and subject to the conditions set forth in the Purchase Agreement, upon execution of the Purchase Agreement, we issued 46,536 shares of Class A Ordinary Shares to B. Riley Principal Capital II. Expense of $1 million related to these shares was recognized within other income (loss), net in our condensed consolidated statements of operations.</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Purchase Agreement and the Registration Rights Agreement contain customary representations, warranties, conditions and indemnification obligations of the parties. Copies of the agreements have been filed as exhibits to the Registration Statement and are available electronically on the SEC’s website at www.sec.gov.</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Future Capital Requirements</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During the normal course of business, we enter into certain lease contracts with lease terms through 2032. As of September 30, 2022, the total remaining non-cancellable contractual obligations are approximately $76.6 million.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In the ordinary course of business, we engage in activities with unconsolidated VIEs, including our sponsored securitization vehicles, which we contractually administer. To comply with risk retention regulatory requirements, we retain at least 5% of the credit risk of the securities issued by Financing Vehicles. From time to time, we may, but are not obligated to, purchase assets of the Financing Vehicles. Such purchases could expose us to loss. For additional information, refer to Note 6 to the consolidated financial statements included in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spacing w:after="0"/>
        <w:rPr>
          <w:sz w:val="20"/>
          <w:szCs w:val="20"/>
          <w:color w:val="auto"/>
        </w:rPr>
      </w:pPr>
      <w:r>
        <w:rPr>
          <w:rFonts w:ascii="Arial" w:cs="Arial" w:eastAsia="Arial" w:hAnsi="Arial"/>
          <w:sz w:val="22"/>
          <w:szCs w:val="22"/>
          <w:b w:val="1"/>
          <w:bCs w:val="1"/>
          <w:color w:val="auto"/>
        </w:rPr>
        <w:t>Cash Flow</w:t>
      </w: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color w:val="auto"/>
        </w:rPr>
        <w:t>The following table presents summarized consolidated cash flow information for the periods presented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4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(37,880</w:t>
            </w: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37,800</w:t>
            </w:r>
          </w:p>
        </w:tc>
      </w:tr>
      <w:tr>
        <w:trPr>
          <w:trHeight w:val="243"/>
        </w:trPr>
        <w:tc>
          <w:tcPr>
            <w:tcW w:w="86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(191,810)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(189,240)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391,934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264,858</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Activities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primary uses of cash in operating activities are for ordinary course of business, with the primary use related to employee and personnel-related expenses. As of September 30, 2022, we had 830 employees compared to 621 on December 31, 2021. During the nine months ended September 30, 2022, we increased our headcount and personnel-related costs to support our growth expansion strategy.</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Net cash provided by operating activities decreased by $75.7 million, or 200%, to $37.9 million of net cash used in operating activities for the nine months ended September 30, 2022 from $37.8 million net cash provided by operating activities for the nine months ended September 30, 2021. The decrease was mainly due to a $174.0 million decrease in net income and a $10.5 million decrease in operating assets and liabilities, partially offset by a $108.8 million increase in non-cash charges.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Investing Activities</w:t>
      </w:r>
    </w:p>
    <w:p>
      <w:pPr>
        <w:spacing w:after="0" w:line="239"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Our primary uses of cash in investing activities are the purchase of risk retention assets of sponsored securitization vehicles and investments in equity method and other investments.</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Net cash used in investing activities increased by $2.6 million, or 1%, to $191.8 million for the nine months ended September 30, 2022 from $189.2 million for the nine months ended September 30, 2021. The increase was primarily due to a $119.7 million increase in the purchase of investments in loans and securities partially offset by an increase in proceeds received from investments in loans and securities of $60.6 million. Additionally, there was a $51.4 million decrease in short-term deposits.</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Financing Activities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During the nine-months ended September 30, 2022, our main source of cash from financing activities was proceeds from the issuance of ordinary shares. During the nine-months ended September 30, 2021, our main source of cash from financing activities was the proceeds from issuance of redeemable convertible preferred shares. Additionally, secured borrowings associated with our risk retention assets have provided a significant source of cash during the nine-months ended September 30, 2022.</w:t>
      </w:r>
    </w:p>
    <w:p>
      <w:pPr>
        <w:spacing w:after="0" w:line="17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Net cash provided by financing activities increased by $127.1 million, or 48%, to $391.9 million for the nine months ended September 30, 2022 from $264.9 million for the nine months ended September 30, 2021. The increase was primarily due to a $98.4 million increase in proceeds from the issuance of ordinary shares and warrants and $75.8 million of proceeds from secured borrowing, net of payments. These increases were partially offset by a net decrease of $52.8 million related to noncontrolling interests.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Indebtedness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Credit Facility</w:t>
      </w:r>
    </w:p>
    <w:p>
      <w:pPr>
        <w:spacing w:after="0" w:line="239"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On September 2, 2022, we entered into a Senior Secured Revolving Credit Agreement (the “Credit Agreement”) with certain lenders. The Credit Agreement provides for a 3-year senior secured revolving credit facility (the “Revolving Credit Facility”) in an initial principal amount of $167.5 million, which includes a sub-limit for letters of credit in an initial aggregate principal amount of $50.0 million, of which up to a U.S. dollar equivalent of $20.0 million may be issued in NIS.</w:t>
      </w:r>
    </w:p>
    <w:p>
      <w:pPr>
        <w:spacing w:after="0" w:line="201"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Revolving Credit Facility replaced the 2021 Credit Facility (as defined below). Proceeds of borrowings under the Revolving Credit Facility may be used to finance the Company’s ongoing working capital needs, permitted acquisitions or for general corporate purposes of the Company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 w:name="page36"/>
    <w:bookmarkEnd w:id="35"/>
    <w:p>
      <w:pPr>
        <w:jc w:val="both"/>
        <w:spacing w:after="0" w:line="247" w:lineRule="auto"/>
        <w:rPr>
          <w:sz w:val="20"/>
          <w:szCs w:val="20"/>
          <w:color w:val="auto"/>
        </w:rPr>
      </w:pPr>
      <w:r>
        <w:rPr>
          <w:rFonts w:ascii="Arial" w:cs="Arial" w:eastAsia="Arial" w:hAnsi="Arial"/>
          <w:sz w:val="21"/>
          <w:szCs w:val="21"/>
          <w:color w:val="auto"/>
        </w:rPr>
        <w:t>Borrowings under the Revolving Credit Facility bear interest at a rate per annum equal to either (i) a base rate (determined based on the prime rate and subject to a 1.00% floor) plus a margin of 1.75% or (ii) an adjusted term Secured Overnight Financing Rate (subject to a 0.00% floor) plus a margin of 2.75%. A commitment fee accrues on any unused portion of the commitments under the Revolving Credit Facility at a rate per annum of 0.25% and is payable quarterly in arrears. The Company may voluntarily prepay borrowings under the Revolving Credit Facility at any time and from time to time without premium or penalty, subject only to the payment of customary “breakage” costs. No amortization payments are required to be made in respect of borrowings under the Revolving Credit Facility.</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Company’s obligations under the Credit Agreement are guaranteed by certain of the Company’s material, wholly-owned subsidiaries (collectively, the “Guarantors”) and are secured by a first priority lien on substantially all assets of the Company and the Guarantors, subject to certain customary exceptions.</w:t>
      </w: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Credit Agreement contains customary negative covenants, which include, among other things, limitations on the ability of the Company and its consolidated subsidiaries to incur indebtedness, grant liens, engage in certain fundamental changes, make certain dispositions and investments, enter into sale and leaseback transactions and make restricted payments and other distributions. The Credit Agreement contains the following financial maintenance covenants, which will be tested on the last day of each fiscal quarter, commencing with the fiscal quarter ending September 30, 2022: (i) a minimum Consolidated Adjusted Quick Ratio (as defined in the Credit Agreement) of 1.25:1.00 and (ii) Consolidated Total Revenue (as defined in the Credit Agreement) not less than the amounts set forth in the Credit Agreement. The Credit Agreement also includes affirmative covenants customary for a credit facility of its type, including customary reporting covenants.</w:t>
      </w:r>
    </w:p>
    <w:p>
      <w:pPr>
        <w:spacing w:after="0" w:line="18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Credit Agreement includes events of default related to, among other things, failure to pay amounts due under the Credit Agreement, breaches of representations, warranties or covenants, defaults under other material indebtedness, certain events of bankruptcy or insolvency, material judgment defaults and change of control, in each case, subject to customary cure periods where appropriate.</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September 30, 2022, there are no outstanding borrowings under the Revolving Credit Facility. While we may draw on the facility for cash and Letter of Credit needs in the normal course of business, at this time we do not anticipate the need for material borrowings.</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foregoing descriptions of the Credit Agreement are qualified in their entirety by reference to the full and complete terms thereof, which are incorporated herein by reference to Exhibit 10.5 of the Registration Statement.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Termination of 2021 Credit Facility</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connection with entering into the Credit Agreement, we repaid all outstanding obligations with respect to, and terminated the commitments under, that certain Credit Agreement, dated as of December 23, 2021 (as amended among us and certain lenders (the “2021 Credit Facility”)).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Receivables Facility</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On October 7, 2022, we entered into a Loan and Security Agreement (the “LSA Agreement”) by and among Pagaya Receivables LLC (the “Borrower”), a Delaware limited liability company, as the Borrower and the lenders from time to time party thereto and Silicon Valley Bank, as administrative agent, which provides for a 3-year loan facility (the “Receivables Facility”) in a maximum principal amount of $22 million, the proceeds of which were used by the Borrower to purchase (either directly or in the form of a participation in) certain Eligible Receivables, and to pay closing expenses and for payment of fees and expenses to the Administrative Agent. The Borrower is a wholly-owned indirect subsidiary of Pagaya Technologies Ltd., (the “Parent”), which acts as the Borrower’s Guarantor (per the terms of the Bad Acts Guarantee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jc w:val="both"/>
        <w:spacing w:after="0" w:line="249" w:lineRule="auto"/>
        <w:rPr>
          <w:sz w:val="20"/>
          <w:szCs w:val="20"/>
          <w:color w:val="auto"/>
        </w:rPr>
      </w:pPr>
      <w:r>
        <w:rPr>
          <w:rFonts w:ascii="Arial" w:cs="Arial" w:eastAsia="Arial" w:hAnsi="Arial"/>
          <w:sz w:val="21"/>
          <w:szCs w:val="21"/>
          <w:color w:val="auto"/>
        </w:rPr>
        <w:t>The Receivables Facility is secured by eligible administration fee receivables that are fully earned and non-refundable fees (the “Collateral”) from sponsored securitization deals (the “Eligible Securitizations”), with an advance rate of 70% of the net present value of the eligible administration fee receivables. The Borrower granted the Administrative Agent, for its benefit and the other Secured Parties, a lien on and security interest in the Collateral to secure the Obligations and other financial accommodations being granted by the Administrative Agent and the other Secured Parties to the Borrower.</w:t>
      </w:r>
    </w:p>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Borrowings under the Receivables Facility bear interest at a rate per annum equal to the adjusted term Secured Overnight Financing Rate (subject to a 0.00% floor) plus a margin of 2.20%. Accrued and unpaid interest for each Interest Period shall be payable in arrears on each Payment Date. Payments are directed to the Borrower’s collection account with Silicon Valley Bank, where any remaining available funds in the account (after satisfying any and all accrued and unpaid fees, costs, charges, and expenses and any and all accrued and unpaid interest) will pay down the aggregate outstanding principal amount of the borrowing.</w:t>
      </w:r>
    </w:p>
    <w:p>
      <w:pPr>
        <w:spacing w:after="0" w:line="20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LSA Agreement contains customary negative covenants, which include, among other things, limitations on the ability of the Borrower to incur indebtedness, grant liens, create subsidiaries, modify, extend, or waive the terms of Eligible Securitizations, engage in certain fundamental changes, make certain dispositions and investments, enter into sale and leaseback transactions and make restricted payments and other distributions. The LSA Agreement contains the following financial maintenance covenants, which will be tested on the last day of each fiscal quarter, commencing with the fiscal quarter ending June 30, 2022: (i) Consolidated Tangible Net Worth (as defined in the LSA Agreement) of the Parent not less than $50,000,000 and (ii) Liquidity (as defined in the LSA Agreement) of at least the greater of (x) $10,000,000 and (y) an amount sufficient to meet the Cash Burn (as defined in the LSA Agreement) for the two consecutive fiscal quarter periods most recently ended for which a Compliance Certificate is being delivered. The LSA Agreement also includes affirmative covenants customary for a credit facility of its type, including customary reporting covenants.</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LSA Agreement includes events of default related to, among other things, failure to pay amounts due under the LSA Agreement, borrowing base deficiencies, breaches of representations, warranties or covenants, defaults under other material indebtedness, certain events of bankruptcy or insolvency, material judgment defaults and change of control, in each case, subject to customary cure periods where appropriate.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As of October 31, 2022, there was $18.9 million in outstanding borrowings under the Receivables Facility.</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Recent Accounting Pronouncements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See Note 2 to the consolidated financial statements included in the Registration Statement.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Our significant accounting policies and their effect on our financial condition and results of operations are more fully described in our audited consolidated financial statements included in the Registration Statement. See Note 2 to the consolidated financial statements included in the Registration Statement.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Quantitative and Qualitative Discussions of Market Risk</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We are exposed to market risks in the ordinary course of our business, which primarily relate to fluctuations in credit risks, liquidity risks, and interest rates. We are exposed to market risk directly through investments in loans and securities held on our consolidated balance sheets and access to the securitization markets. As the Company holds its investments to maturity, such fluctuations to date have not been significant. As of September 30, 2022, there have been no material changes in our exposure to market risk from December 31, 2021, a description of which may be found in the Registration Statement and any of our subsequent filings with the SEC. See “Risk Factors” included in the Registration Statement and any of our subsequent filings with the SEC for a discussion of how difficult conditions in the financial markets and the economy generally may materially adversely affect our business and results of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367665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bullet"/>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2022-11-10T17:11:19Z</dcterms:created>
  <dcterms:modified xsi:type="dcterms:W3CDTF">2022-11-10T17:11:19Z</dcterms:modified>
</cp:coreProperties>
</file>