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8"/>
          <w:shd w:fill="FFFFFF" w:val="clear"/>
        </w:rPr>
      </w:pPr>
      <w:r>
        <w:rPr>
          <w:rFonts w:ascii="Times New Roman;serif" w:hAnsi="Times New Roman;serif"/>
          <w:b/>
          <w:color w:val="000000"/>
          <w:sz w:val="28"/>
          <w:shd w:fill="FFFFFF" w:val="clear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8"/>
          <w:shd w:fill="FFFFFF" w:val="clear"/>
        </w:rPr>
      </w:pPr>
      <w:r>
        <w:rPr>
          <w:rFonts w:ascii="Times New Roman;serif" w:hAnsi="Times New Roman;serif"/>
          <w:b/>
          <w:color w:val="000000"/>
          <w:sz w:val="28"/>
          <w:shd w:fill="FFFFFF" w:val="clear"/>
        </w:rPr>
        <w:t xml:space="preserve">SECURITIES AND EXCHANGE COMMISSION 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4"/>
          <w:shd w:fill="FFFFFF" w:val="clear"/>
        </w:rPr>
      </w:pPr>
      <w:r>
        <w:rPr>
          <w:rFonts w:ascii="Times New Roman;serif" w:hAnsi="Times New Roman;serif"/>
          <w:b/>
          <w:color w:val="000000"/>
          <w:sz w:val="24"/>
          <w:shd w:fill="FFFFFF" w:val="clear"/>
        </w:rPr>
        <w:t xml:space="preserve">Washington, D.C. 20549 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6"/>
          <w:shd w:fill="FFFFFF" w:val="clear"/>
        </w:rPr>
      </w:pPr>
      <w:r>
        <w:rPr>
          <w:rFonts w:ascii="Times New Roman;serif" w:hAnsi="Times New Roman;serif"/>
          <w:b/>
          <w:color w:val="000000"/>
          <w:sz w:val="36"/>
          <w:shd w:fill="FFFFFF" w:val="clear"/>
        </w:rPr>
        <w:t xml:space="preserve">SCHEDULE 14A 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  <w:shd w:fill="FFFFFF" w:val="clear"/>
        </w:rPr>
      </w:pPr>
      <w:r>
        <w:rPr>
          <w:rFonts w:ascii="Times New Roman;serif" w:hAnsi="Times New Roman;serif"/>
          <w:b/>
          <w:color w:val="000000"/>
          <w:sz w:val="20"/>
          <w:shd w:fill="FFFFFF" w:val="clear"/>
        </w:rPr>
        <w:t xml:space="preserve">Proxy Statement Pursuant to Section 14(a) of the 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  <w:shd w:fill="FFFFFF" w:val="clear"/>
        </w:rPr>
      </w:pPr>
      <w:r>
        <w:rPr>
          <w:rFonts w:ascii="Times New Roman;serif" w:hAnsi="Times New Roman;serif"/>
          <w:b/>
          <w:color w:val="000000"/>
          <w:sz w:val="20"/>
          <w:shd w:fill="FFFFFF" w:val="clear"/>
        </w:rPr>
        <w:t>Securities Exchange Act of 1934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  <w:shd w:fill="FFFFFF" w:val="clear"/>
        </w:rPr>
      </w:pPr>
      <w:r>
        <w:rPr>
          <w:rFonts w:ascii="Times New Roman;serif" w:hAnsi="Times New Roman;serif"/>
          <w:b/>
          <w:color w:val="000000"/>
          <w:sz w:val="20"/>
          <w:shd w:fill="FFFFFF" w:val="clear"/>
        </w:rPr>
        <w:t>(Amendment No. )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  <w:shd w:fill="FFFFFF" w:val="clear"/>
        </w:rPr>
      </w:pPr>
      <w:r>
        <w:rPr>
          <w:rFonts w:ascii="Times New Roman;serif" w:hAnsi="Times New Roman;serif"/>
          <w:b w:val="false"/>
          <w:color w:val="000000"/>
          <w:sz w:val="20"/>
          <w:shd w:fill="FFFFFF" w:val="clear"/>
        </w:rPr>
        <w:t>Filed by the Registrant ☒</w:t>
      </w:r>
    </w:p>
    <w:p>
      <w:pPr>
        <w:pStyle w:val="TextBody"/>
        <w:bidi w:val="0"/>
        <w:spacing w:lineRule="auto" w:line="288" w:before="0" w:after="0"/>
        <w:jc w:val="left"/>
        <w:rPr>
          <w:shd w:fill="FFFFFF" w:val="clear"/>
        </w:rPr>
      </w:pPr>
      <w:r>
        <w:rPr>
          <w:rFonts w:ascii="Times New Roman;serif" w:hAnsi="Times New Roman;serif"/>
          <w:b w:val="false"/>
          <w:color w:val="000000"/>
          <w:sz w:val="20"/>
          <w:shd w:fill="FFFFFF" w:val="clear"/>
        </w:rPr>
        <w:t xml:space="preserve">Filed by a party other than the Registrant </w:t>
      </w:r>
      <w:r>
        <w:rPr>
          <w:color w:val="000000"/>
          <w:shd w:fill="FFFFFF" w:val="clear"/>
        </w:rPr>
        <w:t> ☐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  <w:shd w:fill="FFFFFF" w:val="clear"/>
        </w:rPr>
      </w:pPr>
      <w:r>
        <w:rPr>
          <w:rFonts w:ascii="Times New Roman;serif" w:hAnsi="Times New Roman;serif"/>
          <w:b w:val="false"/>
          <w:color w:val="000000"/>
          <w:sz w:val="20"/>
          <w:shd w:fill="FFFFFF" w:val="clear"/>
        </w:rPr>
        <w:t xml:space="preserve">Check the appropriate box: 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284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6"/>
        <w:gridCol w:w="119"/>
        <w:gridCol w:w="119"/>
        <w:gridCol w:w="725"/>
        <w:gridCol w:w="725"/>
        <w:gridCol w:w="1025"/>
      </w:tblGrid>
      <w:tr>
        <w:trPr/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12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247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Preliminary Proxy Statement</w:t>
            </w:r>
          </w:p>
        </w:tc>
      </w:tr>
    </w:tbl>
    <w:tbl>
      <w:tblPr>
        <w:tblW w:w="703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6"/>
        <w:gridCol w:w="119"/>
        <w:gridCol w:w="119"/>
        <w:gridCol w:w="1947"/>
        <w:gridCol w:w="1947"/>
        <w:gridCol w:w="2765"/>
      </w:tblGrid>
      <w:tr>
        <w:trPr/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12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665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Confidential, for Use of the Commission Only (as permitted by Rule 14a-6(e)(2))</w:t>
            </w:r>
          </w:p>
        </w:tc>
      </w:tr>
    </w:tbl>
    <w:tbl>
      <w:tblPr>
        <w:tblW w:w="272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6"/>
        <w:gridCol w:w="119"/>
        <w:gridCol w:w="119"/>
        <w:gridCol w:w="687"/>
        <w:gridCol w:w="687"/>
        <w:gridCol w:w="980"/>
      </w:tblGrid>
      <w:tr>
        <w:trPr/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12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235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Proxy Statement</w:t>
            </w:r>
          </w:p>
        </w:tc>
      </w:tr>
    </w:tbl>
    <w:tbl>
      <w:tblPr>
        <w:tblW w:w="30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794"/>
        <w:gridCol w:w="794"/>
        <w:gridCol w:w="1127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12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271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Additional Materials</w:t>
            </w:r>
          </w:p>
        </w:tc>
      </w:tr>
    </w:tbl>
    <w:tbl>
      <w:tblPr>
        <w:tblW w:w="367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6"/>
        <w:gridCol w:w="119"/>
        <w:gridCol w:w="119"/>
        <w:gridCol w:w="965"/>
        <w:gridCol w:w="965"/>
        <w:gridCol w:w="1370"/>
      </w:tblGrid>
      <w:tr>
        <w:trPr/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12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330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 xml:space="preserve">Soliciting Material under Rule 14a-12 </w:t>
            </w:r>
          </w:p>
        </w:tc>
      </w:tr>
    </w:tbl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40"/>
          <w:shd w:fill="FFFFFF" w:val="clear"/>
        </w:rPr>
      </w:pPr>
      <w:r>
        <w:rPr>
          <w:rFonts w:ascii="Times New Roman;serif" w:hAnsi="Times New Roman;serif"/>
          <w:b/>
          <w:color w:val="000000"/>
          <w:sz w:val="40"/>
          <w:shd w:fill="FFFFFF" w:val="clear"/>
        </w:rPr>
        <w:t>Pagaya Technologies Ltd.</w:t>
      </w:r>
    </w:p>
    <w:p>
      <w:pPr>
        <w:pStyle w:val="TextBody"/>
        <w:bidi w:val="0"/>
        <w:spacing w:lineRule="auto" w:line="288" w:before="0" w:after="0"/>
        <w:jc w:val="center"/>
        <w:rPr>
          <w:color w:val="000000"/>
          <w:shd w:fill="FFFFFF" w:val="clear"/>
        </w:rPr>
      </w:pPr>
      <w:r>
        <w:rPr>
          <w:color w:val="000000"/>
          <w:shd w:fill="FFFFFF" w:val="clear"/>
        </w:rPr>
        <w:t> 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 w:val="false"/>
          <w:color w:val="000000"/>
          <w:sz w:val="20"/>
          <w:shd w:fill="FFFFFF" w:val="clear"/>
        </w:rPr>
      </w:pPr>
      <w:r>
        <w:rPr>
          <w:rFonts w:ascii="Times New Roman;serif" w:hAnsi="Times New Roman;serif"/>
          <w:b w:val="false"/>
          <w:color w:val="000000"/>
          <w:sz w:val="20"/>
          <w:shd w:fill="FFFFFF" w:val="clear"/>
        </w:rPr>
        <w:t>(Name of Registrant as Specified in Its Charter)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 w:val="false"/>
          <w:color w:val="000000"/>
          <w:sz w:val="20"/>
          <w:shd w:fill="FFFFFF" w:val="clear"/>
        </w:rPr>
      </w:pPr>
      <w:r>
        <w:rPr>
          <w:rFonts w:ascii="Times New Roman;serif" w:hAnsi="Times New Roman;serif"/>
          <w:b w:val="false"/>
          <w:color w:val="000000"/>
          <w:sz w:val="20"/>
          <w:shd w:fill="FFFFFF" w:val="clear"/>
        </w:rPr>
        <w:t xml:space="preserve">(Name of Person(s) Filing Proxy Statement, if Other Than the Registrant) 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  <w:shd w:fill="FFFFFF" w:val="clear"/>
        </w:rPr>
      </w:pPr>
      <w:r>
        <w:rPr>
          <w:rFonts w:ascii="Times New Roman;serif" w:hAnsi="Times New Roman;serif"/>
          <w:b w:val="false"/>
          <w:color w:val="000000"/>
          <w:sz w:val="20"/>
          <w:shd w:fill="FFFFFF" w:val="clear"/>
        </w:rPr>
        <w:t>Payment of Filing Fee (Check all boxes that apply):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178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421"/>
        <w:gridCol w:w="421"/>
        <w:gridCol w:w="597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143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No fee required.</w:t>
            </w:r>
          </w:p>
        </w:tc>
      </w:tr>
    </w:tbl>
    <w:tbl>
      <w:tblPr>
        <w:tblW w:w="434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6"/>
        <w:gridCol w:w="119"/>
        <w:gridCol w:w="119"/>
        <w:gridCol w:w="1164"/>
        <w:gridCol w:w="1164"/>
        <w:gridCol w:w="1646"/>
      </w:tblGrid>
      <w:tr>
        <w:trPr/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12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39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paid previously with preliminary materials.</w:t>
            </w:r>
          </w:p>
        </w:tc>
      </w:tr>
    </w:tbl>
    <w:tbl>
      <w:tblPr>
        <w:tblW w:w="883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6"/>
        <w:gridCol w:w="119"/>
        <w:gridCol w:w="119"/>
        <w:gridCol w:w="2474"/>
        <w:gridCol w:w="2474"/>
        <w:gridCol w:w="3512"/>
      </w:tblGrid>
      <w:tr>
        <w:trPr/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12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84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 xml:space="preserve">Fee computed on table in exhibit required by Item 25(b) per Exchange Act Rules 14a-6(i)(1) and 0-11. </w:t>
            </w:r>
          </w:p>
        </w:tc>
      </w:tr>
    </w:tbl>
    <w:p>
      <w:pPr>
        <w:pStyle w:val="TextBody"/>
        <w:bidi w:val="0"/>
        <w:spacing w:before="60" w:after="6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7772400" cy="10058400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7772400" cy="10058400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136</Words>
  <Characters>731</Characters>
  <CharactersWithSpaces>853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