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3"/>
        <w:gridCol w:w="973"/>
        <w:gridCol w:w="973"/>
        <w:gridCol w:w="973"/>
        <w:gridCol w:w="973"/>
        <w:gridCol w:w="973"/>
        <w:gridCol w:w="973"/>
        <w:gridCol w:w="973"/>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7"/>
        <w:gridCol w:w="977"/>
        <w:gridCol w:w="977"/>
        <w:gridCol w:w="977"/>
        <w:gridCol w:w="977"/>
        <w:gridCol w:w="977"/>
        <w:gridCol w:w="977"/>
        <w:gridCol w:w="977"/>
        <w:gridCol w:w="1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18"/>
        </w:rPr>
        <w:t>001-41430</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Pagaya Technologies Ltd.</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9948"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98-1704718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335 Madison Ave, 16th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10017</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(646) 710-7714</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9187" w:type="dxa"/>
        <w:jc w:val="left"/>
        <w:tblInd w:w="0" w:type="dxa"/>
        <w:tblLayout w:type="fixed"/>
        <w:tblCellMar>
          <w:top w:w="28" w:type="dxa"/>
          <w:left w:w="28" w:type="dxa"/>
          <w:bottom w:w="28" w:type="dxa"/>
          <w:right w:w="28" w:type="dxa"/>
        </w:tblCellMar>
      </w:tblPr>
      <w:tblGrid>
        <w:gridCol w:w="1264"/>
        <w:gridCol w:w="1112"/>
        <w:gridCol w:w="1119"/>
        <w:gridCol w:w="109"/>
        <w:gridCol w:w="109"/>
        <w:gridCol w:w="109"/>
        <w:gridCol w:w="519"/>
        <w:gridCol w:w="519"/>
        <w:gridCol w:w="521"/>
        <w:gridCol w:w="109"/>
        <w:gridCol w:w="109"/>
        <w:gridCol w:w="109"/>
        <w:gridCol w:w="1019"/>
        <w:gridCol w:w="1019"/>
        <w:gridCol w:w="144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Warrants to purchase 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40"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40" w:before="0" w:after="0"/>
        <w:jc w:val="both"/>
        <w:rPr/>
      </w:pPr>
      <w:r>
        <w:rPr>
          <w:color w:val="000000"/>
        </w:rPr>
        <w:t> </w:t>
      </w: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April 30, 2025, the registrant had 63,055,282 Class A Ordinary Shares, no par value, outstanding and 12,652,310 Class B Ordinary Shares, no par value, outstanding, and 5,000,000 Series A Preferred Shares, no par value, outstanding.</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p>
      <w:pPr>
        <w:pStyle w:val="TextBody"/>
        <w:bidi w:val="0"/>
        <w:spacing w:before="0" w:after="0"/>
        <w:jc w:val="center"/>
        <w:rPr/>
      </w:pPr>
      <w:r>
        <w:rPr/>
      </w:r>
    </w:p>
    <w:tbl>
      <w:tblPr>
        <w:tblW w:w="9418" w:type="dxa"/>
        <w:jc w:val="left"/>
        <w:tblInd w:w="0" w:type="dxa"/>
        <w:tblLayout w:type="fixed"/>
        <w:tblCellMar>
          <w:top w:w="28" w:type="dxa"/>
          <w:left w:w="28" w:type="dxa"/>
          <w:bottom w:w="28" w:type="dxa"/>
          <w:right w:w="28" w:type="dxa"/>
        </w:tblCellMar>
      </w:tblPr>
      <w:tblGrid>
        <w:gridCol w:w="3108"/>
        <w:gridCol w:w="2733"/>
        <w:gridCol w:w="2739"/>
        <w:gridCol w:w="109"/>
        <w:gridCol w:w="109"/>
        <w:gridCol w:w="109"/>
        <w:gridCol w:w="149"/>
        <w:gridCol w:w="149"/>
        <w:gridCol w:w="213"/>
      </w:tblGrid>
      <w:tr>
        <w:trPr/>
        <w:tc>
          <w:tcPr>
            <w:tcW w:w="3108"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13">
              <w:r>
                <w:rPr>
                  <w:rStyle w:val="InternetLink"/>
                  <w:rFonts w:ascii="Times New Roman;sans-serif" w:hAnsi="Times New Roman;sans-serif"/>
                  <w:b w:val="false"/>
                  <w:color w:val="0000FF"/>
                  <w:sz w:val="18"/>
                  <w:u w:val="single"/>
                </w:rPr>
                <w:t>Part I -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9b25f14693bc46819c88b99ff93dfaea_13">
              <w:r>
                <w:rPr>
                  <w:rStyle w:val="InternetLink"/>
                  <w:rFonts w:ascii="Times New Roman;sans-serif" w:hAnsi="Times New Roman;sans-serif"/>
                  <w:b w:val="false"/>
                  <w:strike w:val="false"/>
                  <w:dstrike w:val="false"/>
                  <w:color w:val="000000"/>
                  <w:sz w:val="18"/>
                  <w:u w:val="none"/>
                  <w:effect w:val="none"/>
                </w:rPr>
                <w:t>1</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16">
              <w:r>
                <w:rPr>
                  <w:rStyle w:val="InternetLink"/>
                  <w:rFonts w:ascii="Times New Roman;sans-serif" w:hAnsi="Times New Roman;sans-serif"/>
                  <w:b w:val="false"/>
                  <w:color w:val="0000FF"/>
                  <w:sz w:val="18"/>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16">
              <w:r>
                <w:rPr>
                  <w:rStyle w:val="InternetLink"/>
                  <w:rFonts w:ascii="Times New Roman;sans-serif" w:hAnsi="Times New Roman;sans-serif"/>
                  <w:b w:val="false"/>
                  <w:strike w:val="false"/>
                  <w:dstrike w:val="false"/>
                  <w:color w:val="000000"/>
                  <w:sz w:val="18"/>
                  <w:u w:val="none"/>
                  <w:effect w:val="none"/>
                </w:rPr>
                <w:t>1</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b25f14693bc46819c88b99ff93dfaea_19">
              <w:r>
                <w:rPr>
                  <w:rStyle w:val="InternetLink"/>
                  <w:rFonts w:ascii="Times New Roman;sans-serif" w:hAnsi="Times New Roman;sans-serif"/>
                  <w:b w:val="false"/>
                  <w:color w:val="000080"/>
                  <w:sz w:val="18"/>
                  <w:u w:val="single"/>
                </w:rPr>
                <w:t xml:space="preserve">Condensed </w:t>
              </w:r>
            </w:hyperlink>
            <w:hyperlink w:anchor="i9b25f14693bc46819c88b99ff93dfaea_19">
              <w:r>
                <w:rPr>
                  <w:rStyle w:val="InternetLink"/>
                  <w:rFonts w:ascii="Times New Roman;sans-serif" w:hAnsi="Times New Roman;sans-serif"/>
                  <w:b w:val="false"/>
                  <w:color w:val="000080"/>
                  <w:sz w:val="18"/>
                  <w:u w:val="single"/>
                </w:rPr>
                <w:t>C</w:t>
              </w:r>
            </w:hyperlink>
            <w:hyperlink w:anchor="i9b25f14693bc46819c88b99ff93dfaea_19">
              <w:r>
                <w:rPr>
                  <w:rStyle w:val="InternetLink"/>
                  <w:rFonts w:ascii="Times New Roman;sans-serif" w:hAnsi="Times New Roman;sans-serif"/>
                  <w:b w:val="false"/>
                  <w:color w:val="000080"/>
                  <w:sz w:val="18"/>
                  <w:u w:val="single"/>
                </w:rPr>
                <w:t xml:space="preserve">onsolidated </w:t>
              </w:r>
            </w:hyperlink>
            <w:hyperlink w:anchor="i9b25f14693bc46819c88b99ff93dfaea_19">
              <w:r>
                <w:rPr>
                  <w:rStyle w:val="InternetLink"/>
                  <w:rFonts w:ascii="Times New Roman;sans-serif" w:hAnsi="Times New Roman;sans-serif"/>
                  <w:b w:val="false"/>
                  <w:color w:val="000080"/>
                  <w:sz w:val="18"/>
                  <w:u w:val="single"/>
                </w:rPr>
                <w:t>B</w:t>
              </w:r>
            </w:hyperlink>
            <w:hyperlink w:anchor="i9b25f14693bc46819c88b99ff93dfaea_19">
              <w:r>
                <w:rPr>
                  <w:rStyle w:val="InternetLink"/>
                  <w:rFonts w:ascii="Times New Roman;sans-serif" w:hAnsi="Times New Roman;sans-serif"/>
                  <w:b w:val="false"/>
                  <w:color w:val="000080"/>
                  <w:sz w:val="18"/>
                  <w:u w:val="single"/>
                </w:rPr>
                <w:t xml:space="preserve">alance </w:t>
              </w:r>
            </w:hyperlink>
            <w:hyperlink w:anchor="i9b25f14693bc46819c88b99ff93dfaea_19">
              <w:r>
                <w:rPr>
                  <w:rStyle w:val="InternetLink"/>
                  <w:rFonts w:ascii="Times New Roman;sans-serif" w:hAnsi="Times New Roman;sans-serif"/>
                  <w:b w:val="false"/>
                  <w:color w:val="000080"/>
                  <w:sz w:val="18"/>
                  <w:u w:val="single"/>
                </w:rPr>
                <w:t>S</w:t>
              </w:r>
            </w:hyperlink>
            <w:hyperlink w:anchor="i9b25f14693bc46819c88b99ff93dfaea_19">
              <w:r>
                <w:rPr>
                  <w:rStyle w:val="InternetLink"/>
                  <w:rFonts w:ascii="Times New Roman;sans-serif" w:hAnsi="Times New Roman;sans-serif"/>
                  <w:b w:val="false"/>
                  <w:color w:val="000080"/>
                  <w:sz w:val="18"/>
                  <w:u w:val="single"/>
                </w:rPr>
                <w:t>heets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19">
              <w:r>
                <w:rPr>
                  <w:rStyle w:val="InternetLink"/>
                  <w:rFonts w:ascii="Times New Roman;sans-serif" w:hAnsi="Times New Roman;sans-serif"/>
                  <w:b w:val="false"/>
                  <w:strike w:val="false"/>
                  <w:dstrike w:val="false"/>
                  <w:color w:val="000000"/>
                  <w:sz w:val="18"/>
                  <w:u w:val="none"/>
                  <w:effect w:val="none"/>
                </w:rPr>
                <w:t>2</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b25f14693bc46819c88b99ff93dfaea_25">
              <w:r>
                <w:rPr>
                  <w:rStyle w:val="InternetLink"/>
                  <w:rFonts w:ascii="Times New Roman;sans-serif" w:hAnsi="Times New Roman;sans-serif"/>
                  <w:b w:val="false"/>
                  <w:color w:val="000080"/>
                  <w:sz w:val="18"/>
                  <w:u w:val="single"/>
                </w:rPr>
                <w:t xml:space="preserve">Condensed </w:t>
              </w:r>
            </w:hyperlink>
            <w:hyperlink w:anchor="i9b25f14693bc46819c88b99ff93dfaea_25">
              <w:r>
                <w:rPr>
                  <w:rStyle w:val="InternetLink"/>
                  <w:rFonts w:ascii="Times New Roman;sans-serif" w:hAnsi="Times New Roman;sans-serif"/>
                  <w:b w:val="false"/>
                  <w:color w:val="000080"/>
                  <w:sz w:val="18"/>
                  <w:u w:val="single"/>
                </w:rPr>
                <w:t>C</w:t>
              </w:r>
            </w:hyperlink>
            <w:hyperlink w:anchor="i9b25f14693bc46819c88b99ff93dfaea_25">
              <w:r>
                <w:rPr>
                  <w:rStyle w:val="InternetLink"/>
                  <w:rFonts w:ascii="Times New Roman;sans-serif" w:hAnsi="Times New Roman;sans-serif"/>
                  <w:b w:val="false"/>
                  <w:color w:val="000080"/>
                  <w:sz w:val="18"/>
                  <w:u w:val="single"/>
                </w:rPr>
                <w:t xml:space="preserve">onsolidated </w:t>
              </w:r>
            </w:hyperlink>
            <w:hyperlink w:anchor="i9b25f14693bc46819c88b99ff93dfaea_25">
              <w:r>
                <w:rPr>
                  <w:rStyle w:val="InternetLink"/>
                  <w:rFonts w:ascii="Times New Roman;sans-serif" w:hAnsi="Times New Roman;sans-serif"/>
                  <w:b w:val="false"/>
                  <w:color w:val="000080"/>
                  <w:sz w:val="18"/>
                  <w:u w:val="single"/>
                </w:rPr>
                <w:t>S</w:t>
              </w:r>
            </w:hyperlink>
            <w:hyperlink w:anchor="i9b25f14693bc46819c88b99ff93dfaea_25">
              <w:r>
                <w:rPr>
                  <w:rStyle w:val="InternetLink"/>
                  <w:rFonts w:ascii="Times New Roman;sans-serif" w:hAnsi="Times New Roman;sans-serif"/>
                  <w:b w:val="false"/>
                  <w:color w:val="000080"/>
                  <w:sz w:val="18"/>
                  <w:u w:val="single"/>
                </w:rPr>
                <w:t xml:space="preserve">tatements of </w:t>
              </w:r>
            </w:hyperlink>
            <w:hyperlink w:anchor="i9b25f14693bc46819c88b99ff93dfaea_25">
              <w:r>
                <w:rPr>
                  <w:rStyle w:val="InternetLink"/>
                  <w:rFonts w:ascii="Times New Roman;sans-serif" w:hAnsi="Times New Roman;sans-serif"/>
                  <w:b w:val="false"/>
                  <w:color w:val="000080"/>
                  <w:sz w:val="18"/>
                  <w:u w:val="single"/>
                </w:rPr>
                <w:t>I</w:t>
              </w:r>
            </w:hyperlink>
            <w:hyperlink w:anchor="i9b25f14693bc46819c88b99ff93dfaea_25">
              <w:r>
                <w:rPr>
                  <w:rStyle w:val="InternetLink"/>
                  <w:rFonts w:ascii="Times New Roman;sans-serif" w:hAnsi="Times New Roman;sans-serif"/>
                  <w:b w:val="false"/>
                  <w:color w:val="000080"/>
                  <w:sz w:val="18"/>
                  <w:u w:val="single"/>
                </w:rPr>
                <w:t>ncome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5">
              <w:r>
                <w:rPr>
                  <w:rStyle w:val="InternetLink"/>
                  <w:rFonts w:ascii="Times New Roman;sans-serif" w:hAnsi="Times New Roman;sans-serif"/>
                  <w:b w:val="false"/>
                  <w:strike w:val="false"/>
                  <w:dstrike w:val="false"/>
                  <w:color w:val="000000"/>
                  <w:sz w:val="18"/>
                  <w:u w:val="none"/>
                  <w:effect w:val="none"/>
                </w:rPr>
                <w:t>3</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b25f14693bc46819c88b99ff93dfaea_31">
              <w:r>
                <w:rPr>
                  <w:rStyle w:val="InternetLink"/>
                  <w:rFonts w:ascii="Times New Roman;sans-serif" w:hAnsi="Times New Roman;sans-serif"/>
                  <w:b w:val="false"/>
                  <w:color w:val="0000FF"/>
                  <w:sz w:val="18"/>
                  <w:u w:val="single"/>
                </w:rPr>
                <w:t>Condensed Consolidated Statements of Comprehensive Loss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31">
              <w:r>
                <w:rPr>
                  <w:rStyle w:val="InternetLink"/>
                  <w:rFonts w:ascii="Times New Roman;sans-serif" w:hAnsi="Times New Roman;sans-serif"/>
                  <w:b w:val="false"/>
                  <w:strike w:val="false"/>
                  <w:dstrike w:val="false"/>
                  <w:color w:val="000000"/>
                  <w:sz w:val="18"/>
                  <w:u w:val="none"/>
                  <w:effect w:val="none"/>
                </w:rPr>
                <w:t>4</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b25f14693bc46819c88b99ff93dfaea_34">
              <w:r>
                <w:rPr>
                  <w:rStyle w:val="InternetLink"/>
                  <w:rFonts w:ascii="Times New Roman;sans-serif" w:hAnsi="Times New Roman;sans-serif"/>
                  <w:b w:val="false"/>
                  <w:color w:val="000080"/>
                  <w:sz w:val="18"/>
                  <w:u w:val="single"/>
                </w:rPr>
                <w:t xml:space="preserve">Condensed </w:t>
              </w:r>
            </w:hyperlink>
            <w:hyperlink w:anchor="i9b25f14693bc46819c88b99ff93dfaea_34">
              <w:r>
                <w:rPr>
                  <w:rStyle w:val="InternetLink"/>
                  <w:rFonts w:ascii="Times New Roman;sans-serif" w:hAnsi="Times New Roman;sans-serif"/>
                  <w:b w:val="false"/>
                  <w:color w:val="000080"/>
                  <w:sz w:val="18"/>
                  <w:u w:val="single"/>
                </w:rPr>
                <w:t>C</w:t>
              </w:r>
            </w:hyperlink>
            <w:hyperlink w:anchor="i9b25f14693bc46819c88b99ff93dfaea_34">
              <w:r>
                <w:rPr>
                  <w:rStyle w:val="InternetLink"/>
                  <w:rFonts w:ascii="Times New Roman;sans-serif" w:hAnsi="Times New Roman;sans-serif"/>
                  <w:b w:val="false"/>
                  <w:color w:val="000080"/>
                  <w:sz w:val="18"/>
                  <w:u w:val="single"/>
                </w:rPr>
                <w:t xml:space="preserve">onsolidated </w:t>
              </w:r>
            </w:hyperlink>
            <w:hyperlink w:anchor="i9b25f14693bc46819c88b99ff93dfaea_34">
              <w:r>
                <w:rPr>
                  <w:rStyle w:val="InternetLink"/>
                  <w:rFonts w:ascii="Times New Roman;sans-serif" w:hAnsi="Times New Roman;sans-serif"/>
                  <w:b w:val="false"/>
                  <w:color w:val="000080"/>
                  <w:sz w:val="18"/>
                  <w:u w:val="single"/>
                </w:rPr>
                <w:t>S</w:t>
              </w:r>
            </w:hyperlink>
            <w:hyperlink w:anchor="i9b25f14693bc46819c88b99ff93dfaea_34">
              <w:r>
                <w:rPr>
                  <w:rStyle w:val="InternetLink"/>
                  <w:rFonts w:ascii="Times New Roman;sans-serif" w:hAnsi="Times New Roman;sans-serif"/>
                  <w:b w:val="false"/>
                  <w:color w:val="000080"/>
                  <w:sz w:val="18"/>
                  <w:u w:val="single"/>
                </w:rPr>
                <w:t xml:space="preserve">tatements of </w:t>
              </w:r>
            </w:hyperlink>
            <w:hyperlink w:anchor="i9b25f14693bc46819c88b99ff93dfaea_34">
              <w:r>
                <w:rPr>
                  <w:rStyle w:val="InternetLink"/>
                  <w:rFonts w:ascii="Times New Roman;sans-serif" w:hAnsi="Times New Roman;sans-serif"/>
                  <w:b w:val="false"/>
                  <w:color w:val="000080"/>
                  <w:sz w:val="18"/>
                  <w:u w:val="single"/>
                </w:rPr>
                <w:t>C</w:t>
              </w:r>
            </w:hyperlink>
            <w:hyperlink w:anchor="i9b25f14693bc46819c88b99ff93dfaea_34">
              <w:r>
                <w:rPr>
                  <w:rStyle w:val="InternetLink"/>
                  <w:rFonts w:ascii="Times New Roman;sans-serif" w:hAnsi="Times New Roman;sans-serif"/>
                  <w:b w:val="false"/>
                  <w:color w:val="000080"/>
                  <w:sz w:val="18"/>
                  <w:u w:val="single"/>
                </w:rPr>
                <w:t xml:space="preserve">hanges in </w:t>
              </w:r>
            </w:hyperlink>
            <w:hyperlink w:anchor="i9b25f14693bc46819c88b99ff93dfaea_34">
              <w:r>
                <w:rPr>
                  <w:rStyle w:val="InternetLink"/>
                  <w:rFonts w:ascii="Times New Roman;sans-serif" w:hAnsi="Times New Roman;sans-serif"/>
                  <w:b w:val="false"/>
                  <w:color w:val="000080"/>
                  <w:sz w:val="18"/>
                  <w:u w:val="single"/>
                </w:rPr>
                <w:t>R</w:t>
              </w:r>
            </w:hyperlink>
            <w:hyperlink w:anchor="i9b25f14693bc46819c88b99ff93dfaea_34">
              <w:r>
                <w:rPr>
                  <w:rStyle w:val="InternetLink"/>
                  <w:rFonts w:ascii="Times New Roman;sans-serif" w:hAnsi="Times New Roman;sans-serif"/>
                  <w:b w:val="false"/>
                  <w:color w:val="000080"/>
                  <w:sz w:val="18"/>
                  <w:u w:val="single"/>
                </w:rPr>
                <w:t xml:space="preserve">edeemable </w:t>
              </w:r>
            </w:hyperlink>
            <w:hyperlink w:anchor="i9b25f14693bc46819c88b99ff93dfaea_34">
              <w:r>
                <w:rPr>
                  <w:rStyle w:val="InternetLink"/>
                  <w:rFonts w:ascii="Times New Roman;sans-serif" w:hAnsi="Times New Roman;sans-serif"/>
                  <w:b w:val="false"/>
                  <w:color w:val="000080"/>
                  <w:sz w:val="18"/>
                  <w:u w:val="single"/>
                </w:rPr>
                <w:t>C</w:t>
              </w:r>
            </w:hyperlink>
            <w:hyperlink w:anchor="i9b25f14693bc46819c88b99ff93dfaea_34">
              <w:r>
                <w:rPr>
                  <w:rStyle w:val="InternetLink"/>
                  <w:rFonts w:ascii="Times New Roman;sans-serif" w:hAnsi="Times New Roman;sans-serif"/>
                  <w:b w:val="false"/>
                  <w:color w:val="000080"/>
                  <w:sz w:val="18"/>
                  <w:u w:val="single"/>
                </w:rPr>
                <w:t xml:space="preserve">onvertible </w:t>
              </w:r>
            </w:hyperlink>
            <w:hyperlink w:anchor="i9b25f14693bc46819c88b99ff93dfaea_34">
              <w:r>
                <w:rPr>
                  <w:rStyle w:val="InternetLink"/>
                  <w:rFonts w:ascii="Times New Roman;sans-serif" w:hAnsi="Times New Roman;sans-serif"/>
                  <w:b w:val="false"/>
                  <w:color w:val="000080"/>
                  <w:sz w:val="18"/>
                  <w:u w:val="single"/>
                </w:rPr>
                <w:t>P</w:t>
              </w:r>
            </w:hyperlink>
            <w:hyperlink w:anchor="i9b25f14693bc46819c88b99ff93dfaea_34">
              <w:r>
                <w:rPr>
                  <w:rStyle w:val="InternetLink"/>
                  <w:rFonts w:ascii="Times New Roman;sans-serif" w:hAnsi="Times New Roman;sans-serif"/>
                  <w:b w:val="false"/>
                  <w:color w:val="000080"/>
                  <w:sz w:val="18"/>
                  <w:u w:val="single"/>
                </w:rPr>
                <w:t xml:space="preserve">referred </w:t>
              </w:r>
            </w:hyperlink>
            <w:hyperlink w:anchor="i9b25f14693bc46819c88b99ff93dfaea_34">
              <w:r>
                <w:rPr>
                  <w:rStyle w:val="InternetLink"/>
                  <w:rFonts w:ascii="Times New Roman;sans-serif" w:hAnsi="Times New Roman;sans-serif"/>
                  <w:b w:val="false"/>
                  <w:color w:val="000080"/>
                  <w:sz w:val="18"/>
                  <w:u w:val="single"/>
                </w:rPr>
                <w:t>S</w:t>
              </w:r>
            </w:hyperlink>
            <w:hyperlink w:anchor="i9b25f14693bc46819c88b99ff93dfaea_34">
              <w:r>
                <w:rPr>
                  <w:rStyle w:val="InternetLink"/>
                  <w:rFonts w:ascii="Times New Roman;sans-serif" w:hAnsi="Times New Roman;sans-serif"/>
                  <w:b w:val="false"/>
                  <w:color w:val="000080"/>
                  <w:sz w:val="18"/>
                  <w:u w:val="single"/>
                </w:rPr>
                <w:t xml:space="preserve">hares and </w:t>
              </w:r>
            </w:hyperlink>
            <w:hyperlink w:anchor="i9b25f14693bc46819c88b99ff93dfaea_34">
              <w:r>
                <w:rPr>
                  <w:rStyle w:val="InternetLink"/>
                  <w:rFonts w:ascii="Times New Roman;sans-serif" w:hAnsi="Times New Roman;sans-serif"/>
                  <w:b w:val="false"/>
                  <w:color w:val="000080"/>
                  <w:sz w:val="18"/>
                  <w:u w:val="single"/>
                </w:rPr>
                <w:t>S</w:t>
              </w:r>
            </w:hyperlink>
            <w:hyperlink w:anchor="i9b25f14693bc46819c88b99ff93dfaea_34">
              <w:r>
                <w:rPr>
                  <w:rStyle w:val="InternetLink"/>
                  <w:rFonts w:ascii="Times New Roman;sans-serif" w:hAnsi="Times New Roman;sans-serif"/>
                  <w:b w:val="false"/>
                  <w:color w:val="000080"/>
                  <w:sz w:val="18"/>
                  <w:u w:val="single"/>
                </w:rPr>
                <w:t xml:space="preserve">hareholders’ </w:t>
              </w:r>
            </w:hyperlink>
            <w:hyperlink w:anchor="i9b25f14693bc46819c88b99ff93dfaea_34">
              <w:r>
                <w:rPr>
                  <w:rStyle w:val="InternetLink"/>
                  <w:rFonts w:ascii="Times New Roman;sans-serif" w:hAnsi="Times New Roman;sans-serif"/>
                  <w:b w:val="false"/>
                  <w:color w:val="000080"/>
                  <w:sz w:val="18"/>
                  <w:u w:val="single"/>
                </w:rPr>
                <w:t>E</w:t>
              </w:r>
            </w:hyperlink>
            <w:hyperlink w:anchor="i9b25f14693bc46819c88b99ff93dfaea_34">
              <w:r>
                <w:rPr>
                  <w:rStyle w:val="InternetLink"/>
                  <w:rFonts w:ascii="Times New Roman;sans-serif" w:hAnsi="Times New Roman;sans-serif"/>
                  <w:b w:val="false"/>
                  <w:color w:val="000080"/>
                  <w:sz w:val="18"/>
                  <w:u w:val="single"/>
                </w:rPr>
                <w:t>quity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34">
              <w:r>
                <w:rPr>
                  <w:rStyle w:val="InternetLink"/>
                  <w:rFonts w:ascii="Times New Roman;sans-serif" w:hAnsi="Times New Roman;sans-serif"/>
                  <w:b w:val="false"/>
                  <w:strike w:val="false"/>
                  <w:dstrike w:val="false"/>
                  <w:color w:val="000000"/>
                  <w:sz w:val="18"/>
                  <w:u w:val="none"/>
                  <w:effect w:val="none"/>
                </w:rPr>
                <w:t>5</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b25f14693bc46819c88b99ff93dfaea_43">
              <w:r>
                <w:rPr>
                  <w:rStyle w:val="InternetLink"/>
                  <w:rFonts w:ascii="Times New Roman;sans-serif" w:hAnsi="Times New Roman;sans-serif"/>
                  <w:b w:val="false"/>
                  <w:color w:val="000080"/>
                  <w:sz w:val="18"/>
                  <w:u w:val="single"/>
                </w:rPr>
                <w:t xml:space="preserve">Condensed </w:t>
              </w:r>
            </w:hyperlink>
            <w:hyperlink w:anchor="i9b25f14693bc46819c88b99ff93dfaea_43">
              <w:r>
                <w:rPr>
                  <w:rStyle w:val="InternetLink"/>
                  <w:rFonts w:ascii="Times New Roman;sans-serif" w:hAnsi="Times New Roman;sans-serif"/>
                  <w:b w:val="false"/>
                  <w:color w:val="000080"/>
                  <w:sz w:val="18"/>
                  <w:u w:val="single"/>
                </w:rPr>
                <w:t>C</w:t>
              </w:r>
            </w:hyperlink>
            <w:hyperlink w:anchor="i9b25f14693bc46819c88b99ff93dfaea_43">
              <w:r>
                <w:rPr>
                  <w:rStyle w:val="InternetLink"/>
                  <w:rFonts w:ascii="Times New Roman;sans-serif" w:hAnsi="Times New Roman;sans-serif"/>
                  <w:b w:val="false"/>
                  <w:color w:val="000080"/>
                  <w:sz w:val="18"/>
                  <w:u w:val="single"/>
                </w:rPr>
                <w:t xml:space="preserve">onsolidated </w:t>
              </w:r>
            </w:hyperlink>
            <w:hyperlink w:anchor="i9b25f14693bc46819c88b99ff93dfaea_43">
              <w:r>
                <w:rPr>
                  <w:rStyle w:val="InternetLink"/>
                  <w:rFonts w:ascii="Times New Roman;sans-serif" w:hAnsi="Times New Roman;sans-serif"/>
                  <w:b w:val="false"/>
                  <w:color w:val="000080"/>
                  <w:sz w:val="18"/>
                  <w:u w:val="single"/>
                </w:rPr>
                <w:t>S</w:t>
              </w:r>
            </w:hyperlink>
            <w:hyperlink w:anchor="i9b25f14693bc46819c88b99ff93dfaea_43">
              <w:r>
                <w:rPr>
                  <w:rStyle w:val="InternetLink"/>
                  <w:rFonts w:ascii="Times New Roman;sans-serif" w:hAnsi="Times New Roman;sans-serif"/>
                  <w:b w:val="false"/>
                  <w:color w:val="000080"/>
                  <w:sz w:val="18"/>
                  <w:u w:val="single"/>
                </w:rPr>
                <w:t xml:space="preserve">tatements of </w:t>
              </w:r>
            </w:hyperlink>
            <w:hyperlink w:anchor="i9b25f14693bc46819c88b99ff93dfaea_43">
              <w:r>
                <w:rPr>
                  <w:rStyle w:val="InternetLink"/>
                  <w:rFonts w:ascii="Times New Roman;sans-serif" w:hAnsi="Times New Roman;sans-serif"/>
                  <w:b w:val="false"/>
                  <w:color w:val="000080"/>
                  <w:sz w:val="18"/>
                  <w:u w:val="single"/>
                </w:rPr>
                <w:t>C</w:t>
              </w:r>
            </w:hyperlink>
            <w:hyperlink w:anchor="i9b25f14693bc46819c88b99ff93dfaea_43">
              <w:r>
                <w:rPr>
                  <w:rStyle w:val="InternetLink"/>
                  <w:rFonts w:ascii="Times New Roman;sans-serif" w:hAnsi="Times New Roman;sans-serif"/>
                  <w:b w:val="false"/>
                  <w:color w:val="000080"/>
                  <w:sz w:val="18"/>
                  <w:u w:val="single"/>
                </w:rPr>
                <w:t xml:space="preserve">ash </w:t>
              </w:r>
            </w:hyperlink>
            <w:hyperlink w:anchor="i9b25f14693bc46819c88b99ff93dfaea_43">
              <w:r>
                <w:rPr>
                  <w:rStyle w:val="InternetLink"/>
                  <w:rFonts w:ascii="Times New Roman;sans-serif" w:hAnsi="Times New Roman;sans-serif"/>
                  <w:b w:val="false"/>
                  <w:color w:val="000080"/>
                  <w:sz w:val="18"/>
                  <w:u w:val="single"/>
                </w:rPr>
                <w:t>F</w:t>
              </w:r>
            </w:hyperlink>
            <w:hyperlink w:anchor="i9b25f14693bc46819c88b99ff93dfaea_43">
              <w:r>
                <w:rPr>
                  <w:rStyle w:val="InternetLink"/>
                  <w:rFonts w:ascii="Times New Roman;sans-serif" w:hAnsi="Times New Roman;sans-serif"/>
                  <w:b w:val="false"/>
                  <w:color w:val="000080"/>
                  <w:sz w:val="18"/>
                  <w:u w:val="single"/>
                </w:rPr>
                <w:t>lows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43">
              <w:r>
                <w:rPr>
                  <w:rStyle w:val="InternetLink"/>
                  <w:rFonts w:ascii="Times New Roman;sans-serif" w:hAnsi="Times New Roman;sans-serif"/>
                  <w:b w:val="false"/>
                  <w:strike w:val="false"/>
                  <w:dstrike w:val="false"/>
                  <w:color w:val="000000"/>
                  <w:sz w:val="18"/>
                  <w:u w:val="none"/>
                  <w:effect w:val="none"/>
                </w:rPr>
                <w:t>6</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9b25f14693bc46819c88b99ff93dfaea_49">
              <w:r>
                <w:rPr>
                  <w:rStyle w:val="InternetLink"/>
                  <w:rFonts w:ascii="Times New Roman;sans-serif" w:hAnsi="Times New Roman;sans-serif"/>
                  <w:b w:val="false"/>
                  <w:color w:val="000080"/>
                  <w:sz w:val="18"/>
                  <w:u w:val="single"/>
                </w:rPr>
                <w:t xml:space="preserve">Notes to the </w:t>
              </w:r>
            </w:hyperlink>
            <w:hyperlink w:anchor="i9b25f14693bc46819c88b99ff93dfaea_49">
              <w:r>
                <w:rPr>
                  <w:rStyle w:val="InternetLink"/>
                  <w:rFonts w:ascii="Times New Roman;sans-serif" w:hAnsi="Times New Roman;sans-serif"/>
                  <w:b w:val="false"/>
                  <w:color w:val="000080"/>
                  <w:sz w:val="18"/>
                  <w:u w:val="single"/>
                </w:rPr>
                <w:t>C</w:t>
              </w:r>
            </w:hyperlink>
            <w:hyperlink w:anchor="i9b25f14693bc46819c88b99ff93dfaea_49">
              <w:r>
                <w:rPr>
                  <w:rStyle w:val="InternetLink"/>
                  <w:rFonts w:ascii="Times New Roman;sans-serif" w:hAnsi="Times New Roman;sans-serif"/>
                  <w:b w:val="false"/>
                  <w:color w:val="000080"/>
                  <w:sz w:val="18"/>
                  <w:u w:val="single"/>
                </w:rPr>
                <w:t xml:space="preserve">onsolidated </w:t>
              </w:r>
            </w:hyperlink>
            <w:hyperlink w:anchor="i9b25f14693bc46819c88b99ff93dfaea_49">
              <w:r>
                <w:rPr>
                  <w:rStyle w:val="InternetLink"/>
                  <w:rFonts w:ascii="Times New Roman;sans-serif" w:hAnsi="Times New Roman;sans-serif"/>
                  <w:b w:val="false"/>
                  <w:color w:val="000080"/>
                  <w:sz w:val="18"/>
                  <w:u w:val="single"/>
                </w:rPr>
                <w:t>F</w:t>
              </w:r>
            </w:hyperlink>
            <w:hyperlink w:anchor="i9b25f14693bc46819c88b99ff93dfaea_49">
              <w:r>
                <w:rPr>
                  <w:rStyle w:val="InternetLink"/>
                  <w:rFonts w:ascii="Times New Roman;sans-serif" w:hAnsi="Times New Roman;sans-serif"/>
                  <w:b w:val="false"/>
                  <w:color w:val="000080"/>
                  <w:sz w:val="18"/>
                  <w:u w:val="single"/>
                </w:rPr>
                <w:t xml:space="preserve">inancial </w:t>
              </w:r>
            </w:hyperlink>
            <w:hyperlink w:anchor="i9b25f14693bc46819c88b99ff93dfaea_49">
              <w:r>
                <w:rPr>
                  <w:rStyle w:val="InternetLink"/>
                  <w:rFonts w:ascii="Times New Roman;sans-serif" w:hAnsi="Times New Roman;sans-serif"/>
                  <w:b w:val="false"/>
                  <w:color w:val="000080"/>
                  <w:sz w:val="18"/>
                  <w:u w:val="single"/>
                </w:rPr>
                <w:t>S</w:t>
              </w:r>
            </w:hyperlink>
            <w:hyperlink w:anchor="i9b25f14693bc46819c88b99ff93dfaea_49">
              <w:r>
                <w:rPr>
                  <w:rStyle w:val="InternetLink"/>
                  <w:rFonts w:ascii="Times New Roman;sans-serif" w:hAnsi="Times New Roman;sans-serif"/>
                  <w:b w:val="false"/>
                  <w:color w:val="000080"/>
                  <w:sz w:val="18"/>
                  <w:u w:val="single"/>
                </w:rPr>
                <w:t>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49">
              <w:r>
                <w:rPr>
                  <w:rStyle w:val="InternetLink"/>
                  <w:rFonts w:ascii="Times New Roman;sans-serif" w:hAnsi="Times New Roman;sans-serif"/>
                  <w:b w:val="false"/>
                  <w:strike w:val="false"/>
                  <w:dstrike w:val="false"/>
                  <w:color w:val="000000"/>
                  <w:sz w:val="18"/>
                  <w:u w:val="none"/>
                  <w:effect w:val="none"/>
                </w:rPr>
                <w:t>8</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169">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169">
              <w:r>
                <w:rPr>
                  <w:rStyle w:val="InternetLink"/>
                  <w:rFonts w:ascii="Times New Roman;sans-serif" w:hAnsi="Times New Roman;sans-serif"/>
                  <w:b w:val="false"/>
                  <w:strike w:val="false"/>
                  <w:dstrike w:val="false"/>
                  <w:color w:val="000000"/>
                  <w:sz w:val="18"/>
                  <w:u w:val="none"/>
                  <w:effect w:val="none"/>
                </w:rPr>
                <w:t>26</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08">
              <w:r>
                <w:rPr>
                  <w:rStyle w:val="InternetLink"/>
                  <w:rFonts w:ascii="Times New Roman;sans-serif" w:hAnsi="Times New Roman;sans-serif"/>
                  <w:b w:val="false"/>
                  <w:color w:val="0000FF"/>
                  <w:sz w:val="18"/>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08">
              <w:r>
                <w:rPr>
                  <w:rStyle w:val="InternetLink"/>
                  <w:rFonts w:ascii="Times New Roman;sans-serif" w:hAnsi="Times New Roman;sans-serif"/>
                  <w:b w:val="false"/>
                  <w:strike w:val="false"/>
                  <w:dstrike w:val="false"/>
                  <w:color w:val="000000"/>
                  <w:sz w:val="18"/>
                  <w:u w:val="none"/>
                  <w:effect w:val="none"/>
                </w:rPr>
                <w:t>42</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11">
              <w:r>
                <w:rPr>
                  <w:rStyle w:val="InternetLink"/>
                  <w:rFonts w:ascii="Times New Roman;sans-serif" w:hAnsi="Times New Roman;sans-serif"/>
                  <w:b w:val="false"/>
                  <w:color w:val="0000FF"/>
                  <w:sz w:val="18"/>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11">
              <w:r>
                <w:rPr>
                  <w:rStyle w:val="InternetLink"/>
                  <w:rFonts w:ascii="Times New Roman;sans-serif" w:hAnsi="Times New Roman;sans-serif"/>
                  <w:b w:val="false"/>
                  <w:strike w:val="false"/>
                  <w:dstrike w:val="false"/>
                  <w:color w:val="000000"/>
                  <w:sz w:val="18"/>
                  <w:u w:val="none"/>
                  <w:effect w:val="none"/>
                </w:rPr>
                <w:t>43</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14">
              <w:r>
                <w:rPr>
                  <w:rStyle w:val="InternetLink"/>
                  <w:rFonts w:ascii="Times New Roman;sans-serif" w:hAnsi="Times New Roman;sans-serif"/>
                  <w:b w:val="false"/>
                  <w:color w:val="0000FF"/>
                  <w:sz w:val="18"/>
                  <w:u w:val="single"/>
                </w:rPr>
                <w:t>Part II -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14">
              <w:r>
                <w:rPr>
                  <w:rStyle w:val="InternetLink"/>
                  <w:rFonts w:ascii="Times New Roman;sans-serif" w:hAnsi="Times New Roman;sans-serif"/>
                  <w:b w:val="false"/>
                  <w:strike w:val="false"/>
                  <w:dstrike w:val="false"/>
                  <w:color w:val="000000"/>
                  <w:sz w:val="18"/>
                  <w:u w:val="none"/>
                  <w:effect w:val="none"/>
                </w:rPr>
                <w:t>44</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17">
              <w:r>
                <w:rPr>
                  <w:rStyle w:val="InternetLink"/>
                  <w:rFonts w:ascii="Times New Roman;sans-serif" w:hAnsi="Times New Roman;sans-serif"/>
                  <w:b w:val="false"/>
                  <w:color w:val="0000FF"/>
                  <w:sz w:val="18"/>
                  <w:u w:val="single"/>
                </w:rPr>
                <w:t>Item 1.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17">
              <w:r>
                <w:rPr>
                  <w:rStyle w:val="InternetLink"/>
                  <w:rFonts w:ascii="Times New Roman;sans-serif" w:hAnsi="Times New Roman;sans-serif"/>
                  <w:b w:val="false"/>
                  <w:strike w:val="false"/>
                  <w:dstrike w:val="false"/>
                  <w:color w:val="000000"/>
                  <w:sz w:val="18"/>
                  <w:u w:val="none"/>
                  <w:effect w:val="none"/>
                </w:rPr>
                <w:t>44</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20">
              <w:r>
                <w:rPr>
                  <w:rStyle w:val="InternetLink"/>
                  <w:rFonts w:ascii="Times New Roman;sans-serif" w:hAnsi="Times New Roman;sans-serif"/>
                  <w:b w:val="false"/>
                  <w:color w:val="0000FF"/>
                  <w:sz w:val="18"/>
                  <w:u w:val="single"/>
                </w:rPr>
                <w:t>Item 1A. 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20">
              <w:r>
                <w:rPr>
                  <w:rStyle w:val="InternetLink"/>
                  <w:rFonts w:ascii="Times New Roman;sans-serif" w:hAnsi="Times New Roman;sans-serif"/>
                  <w:b w:val="false"/>
                  <w:strike w:val="false"/>
                  <w:dstrike w:val="false"/>
                  <w:color w:val="000000"/>
                  <w:sz w:val="18"/>
                  <w:u w:val="none"/>
                  <w:effect w:val="none"/>
                </w:rPr>
                <w:t>44</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23">
              <w:r>
                <w:rPr>
                  <w:rStyle w:val="InternetLink"/>
                  <w:rFonts w:ascii="Times New Roman;sans-serif" w:hAnsi="Times New Roman;sans-serif"/>
                  <w:b w:val="false"/>
                  <w:color w:val="0000FF"/>
                  <w:sz w:val="18"/>
                  <w:u w:val="single"/>
                </w:rPr>
                <w:t>Item 2. 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23">
              <w:r>
                <w:rPr>
                  <w:rStyle w:val="InternetLink"/>
                  <w:rFonts w:ascii="Times New Roman;sans-serif" w:hAnsi="Times New Roman;sans-serif"/>
                  <w:b w:val="false"/>
                  <w:strike w:val="false"/>
                  <w:dstrike w:val="false"/>
                  <w:color w:val="000000"/>
                  <w:sz w:val="18"/>
                  <w:u w:val="none"/>
                  <w:effect w:val="none"/>
                </w:rPr>
                <w:t>44</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26">
              <w:r>
                <w:rPr>
                  <w:rStyle w:val="InternetLink"/>
                  <w:rFonts w:ascii="Times New Roman;sans-serif" w:hAnsi="Times New Roman;sans-serif"/>
                  <w:b w:val="false"/>
                  <w:color w:val="0000FF"/>
                  <w:sz w:val="18"/>
                  <w:u w:val="single"/>
                </w:rPr>
                <w:t>Item 3. 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26">
              <w:r>
                <w:rPr>
                  <w:rStyle w:val="InternetLink"/>
                  <w:rFonts w:ascii="Times New Roman;sans-serif" w:hAnsi="Times New Roman;sans-serif"/>
                  <w:b w:val="false"/>
                  <w:strike w:val="false"/>
                  <w:dstrike w:val="false"/>
                  <w:color w:val="000000"/>
                  <w:sz w:val="18"/>
                  <w:u w:val="none"/>
                  <w:effect w:val="none"/>
                </w:rPr>
                <w:t>44</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29">
              <w:r>
                <w:rPr>
                  <w:rStyle w:val="InternetLink"/>
                  <w:rFonts w:ascii="Times New Roman;sans-serif" w:hAnsi="Times New Roman;sans-serif"/>
                  <w:b w:val="false"/>
                  <w:color w:val="0000FF"/>
                  <w:sz w:val="18"/>
                  <w:u w:val="single"/>
                </w:rPr>
                <w:t>Item 4. 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29">
              <w:r>
                <w:rPr>
                  <w:rStyle w:val="InternetLink"/>
                  <w:rFonts w:ascii="Times New Roman;sans-serif" w:hAnsi="Times New Roman;sans-serif"/>
                  <w:b w:val="false"/>
                  <w:strike w:val="false"/>
                  <w:dstrike w:val="false"/>
                  <w:color w:val="000000"/>
                  <w:sz w:val="18"/>
                  <w:u w:val="none"/>
                  <w:effect w:val="none"/>
                </w:rPr>
                <w:t>44</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32">
              <w:r>
                <w:rPr>
                  <w:rStyle w:val="InternetLink"/>
                  <w:rFonts w:ascii="Times New Roman;sans-serif" w:hAnsi="Times New Roman;sans-serif"/>
                  <w:b w:val="false"/>
                  <w:color w:val="0000FF"/>
                  <w:sz w:val="18"/>
                  <w:u w:val="single"/>
                </w:rPr>
                <w:t>Item 5.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32">
              <w:r>
                <w:rPr>
                  <w:rStyle w:val="InternetLink"/>
                  <w:rFonts w:ascii="Times New Roman;sans-serif" w:hAnsi="Times New Roman;sans-serif"/>
                  <w:b w:val="false"/>
                  <w:strike w:val="false"/>
                  <w:dstrike w:val="false"/>
                  <w:color w:val="000000"/>
                  <w:sz w:val="18"/>
                  <w:u w:val="none"/>
                  <w:effect w:val="none"/>
                </w:rPr>
                <w:t>45</w:t>
              </w:r>
            </w:hyperlink>
          </w:p>
        </w:tc>
      </w:tr>
      <w:tr>
        <w:trPr/>
        <w:tc>
          <w:tcPr>
            <w:tcW w:w="8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38">
              <w:r>
                <w:rPr>
                  <w:rStyle w:val="InternetLink"/>
                  <w:rFonts w:ascii="Times New Roman;sans-serif" w:hAnsi="Times New Roman;sans-serif"/>
                  <w:b w:val="false"/>
                  <w:color w:val="0000FF"/>
                  <w:sz w:val="18"/>
                  <w:u w:val="single"/>
                </w:rPr>
                <w:t>Item 6. 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38">
              <w:r>
                <w:rPr>
                  <w:rStyle w:val="InternetLink"/>
                  <w:rFonts w:ascii="Times New Roman;sans-serif" w:hAnsi="Times New Roman;sans-serif"/>
                  <w:b w:val="false"/>
                  <w:strike w:val="false"/>
                  <w:dstrike w:val="false"/>
                  <w:color w:val="000000"/>
                  <w:sz w:val="18"/>
                  <w:u w:val="none"/>
                  <w:effect w:val="none"/>
                </w:rPr>
                <w:t>45</w:t>
              </w:r>
            </w:hyperlink>
          </w:p>
        </w:tc>
      </w:tr>
      <w:tr>
        <w:trPr/>
        <w:tc>
          <w:tcPr>
            <w:tcW w:w="8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b25f14693bc46819c88b99ff93dfaea_241">
              <w:r>
                <w:rPr>
                  <w:rStyle w:val="InternetLink"/>
                  <w:rFonts w:ascii="Times New Roman;sans-serif" w:hAnsi="Times New Roman;sans-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b25f14693bc46819c88b99ff93dfaea_241">
              <w:r>
                <w:rPr>
                  <w:rStyle w:val="InternetLink"/>
                  <w:rFonts w:ascii="Times New Roman;sans-serif" w:hAnsi="Times New Roman;sans-serif"/>
                  <w:b w:val="false"/>
                  <w:strike w:val="false"/>
                  <w:dstrike w:val="false"/>
                  <w:color w:val="000000"/>
                  <w:sz w:val="18"/>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This Quarterly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Pagaya desires to take advantage of the safe harbor provisions of the PSLRA and is including this cautionary statement in connection with this safe harbor legislation. All statements other than statements of historical facts contained in this Quarterly 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ability to implement business plans and other expectations;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impact of the continuation of or changes in the short-term and long-term interest rate environment;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uncertain market or political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availability and cost of capital, including the financing of risk retention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service our debt financing and meet associated covenants;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develop and maintain a diverse and robust funding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impact of fair value changes in our risk retention investments in our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uncertain future prospects and rate of growth due to our relatively limited operating history;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performance of our technology to consistently meet return expectations of asset investors in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improve, operate and implement our AI technology, including as we expand into new asset classes;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potential difficulties in retaining our current management team and other key employees and independent contractors, including highly-skilled technical experts;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estimates of our future financial performance;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changes in the political, legal and regulatory framework related to AI technology, machine learning; financial institutions and consumer protection;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impact of health epidemics, natural disasters, acts of terrorism or other catastrophic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our ability to realize the potential benefits of past or future acquisitions;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conditions related to our operations in Israel;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risks related to data, security and privacy;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changes to accounting principles and guidelines;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ability to maintain the listing of our securities on Nasdaq;</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price of our securities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unexpected costs or expenses;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future issuances, sales or resales of our Class A Ordinary Shares;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an active public trading market for our Class A Ordinary Shares may not be sustained;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other matters described in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in our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Quarterly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Market, ranking and industry data used throughout this Quarterly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in our Annual Report on Form 10-K, which was filed with the SEC on March 12, 2025, and “</w:t>
      </w:r>
      <w:r>
        <w:rPr>
          <w:rFonts w:ascii="Times New Roman;sans-serif" w:hAnsi="Times New Roman;sans-serif"/>
          <w:b w:val="false"/>
          <w:i/>
          <w:color w:val="000000"/>
          <w:sz w:val="18"/>
        </w:rPr>
        <w:t xml:space="preserve">Item 2—Management’s </w:t>
      </w:r>
      <w:hyperlink w:anchor="i9b25f14693bc46819c88b99ff93dfaea_169">
        <w:r>
          <w:rPr>
            <w:rStyle w:val="InternetLink"/>
            <w:rFonts w:ascii="Times New Roman;sans-serif" w:hAnsi="Times New Roman;sans-serif"/>
            <w:b w:val="false"/>
            <w:i/>
            <w:strike w:val="false"/>
            <w:dstrike w:val="false"/>
            <w:color w:val="000000"/>
            <w:sz w:val="18"/>
            <w:u w:val="none"/>
            <w:effect w:val="none"/>
          </w:rPr>
          <w:t>Discussion and Analysis of Financial Condition and Results of Operations</w:t>
        </w:r>
      </w:hyperlink>
      <w:r>
        <w:rPr>
          <w:color w:val="000000"/>
        </w:rPr>
        <w:t xml:space="preserve">” </w:t>
      </w:r>
      <w:r>
        <w:rPr>
          <w:rFonts w:ascii="Times New Roman;sans-serif" w:hAnsi="Times New Roman;sans-serif"/>
          <w:b w:val="false"/>
          <w:color w:val="000000"/>
          <w:sz w:val="18"/>
        </w:rPr>
        <w:t>of this Quarterly Report.</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BALANCE SHEETS (UNAUDITED)</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(In thousands, except share amounts)</w:t>
      </w:r>
    </w:p>
    <w:tbl>
      <w:tblPr>
        <w:tblW w:w="10205" w:type="dxa"/>
        <w:jc w:val="left"/>
        <w:tblInd w:w="0" w:type="dxa"/>
        <w:tblLayout w:type="fixed"/>
        <w:tblCellMar>
          <w:top w:w="28" w:type="dxa"/>
          <w:left w:w="28" w:type="dxa"/>
          <w:bottom w:w="28" w:type="dxa"/>
          <w:right w:w="28" w:type="dxa"/>
        </w:tblCellMar>
      </w:tblPr>
      <w:tblGrid>
        <w:gridCol w:w="2920"/>
        <w:gridCol w:w="2454"/>
        <w:gridCol w:w="2436"/>
        <w:gridCol w:w="181"/>
        <w:gridCol w:w="721"/>
        <w:gridCol w:w="109"/>
        <w:gridCol w:w="109"/>
        <w:gridCol w:w="109"/>
        <w:gridCol w:w="109"/>
        <w:gridCol w:w="181"/>
        <w:gridCol w:w="721"/>
        <w:gridCol w:w="155"/>
      </w:tblGrid>
      <w:tr>
        <w:trPr/>
        <w:tc>
          <w:tcPr>
            <w:tcW w:w="2920"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187,921 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Fees and other receivables (including related party receivables of $62,141 and $70,198 as of March 31, 2025 and December 31, 2024, respectively) (1)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97,932 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in loans and securities (1)</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current assets (including related party assets of $15,662 and $15,180 as of March 31, 2025 and December 31, 2024,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current assets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351,479 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Non-current 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Fees and other receivables (including related party receivables of $28,603 and $29,182 as of March 31, 2025 and December 31, 2024,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in loans and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756,322 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method and other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Property and equipment,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Intangible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non-current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922,802 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939,593 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1,278,365 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1,291,072 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Liabilities and Shareholders’ Equity</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liabilities: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Accrued expenses and other liabilities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maturities of 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portion of long-term debt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Secured borrowing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current liabilities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195,494 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Non-current liabilities: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debt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Exchangeable notes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Secured borrowing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tax and deferred tax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non-current liabilities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579,782 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775,276 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Redeemable convertible preferred shares, no par value, 6,666,666 shares authorized, 5,000,000 shares issued and outstanding as of March 31, 2025 and December 31, 2024; aggregate liquidation preference of $150,000 as of March 31, 2025 and December 31, 2024.</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Shareholders’ equity:</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Class A ordinary shares, no par value, 666,666,666 shares authorized, 62,778,642 and 61,227,672 shares issued and outstanding as of March 31, 2025 and December 31, 2024,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Class B ordinary shares, no par value, 166,666,666 shares authorized, 12,652,310 and 12,652,310 shares issued and outstanding as of March 31, 2025 and December 31, 2024, respectively.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1,282,022 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deficit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(944,043)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Pagaya Technologies Ltd. shareholders’ equity</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326,491 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shareholders’ equity</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441,546 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Liabilities, Redeemable Convertible Preferred Shares, and Shareholders’ Equity</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1,278,365 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1,291,072 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Accrued interest receivable of $14.3 million, previously reported within “Fee and other receivables” as of December 31, 2024, has been reclassified to “Investment in loans and securities” to conform to the current period’s presentation.</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319"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INCOME (UNAUDITED)</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(In thousands, except share and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80"/>
        <w:gridCol w:w="2008"/>
        <w:gridCol w:w="2038"/>
        <w:gridCol w:w="109"/>
        <w:gridCol w:w="109"/>
        <w:gridCol w:w="173"/>
        <w:gridCol w:w="173"/>
        <w:gridCol w:w="324"/>
        <w:gridCol w:w="1172"/>
        <w:gridCol w:w="173"/>
        <w:gridCol w:w="109"/>
        <w:gridCol w:w="109"/>
        <w:gridCol w:w="109"/>
        <w:gridCol w:w="202"/>
        <w:gridCol w:w="759"/>
        <w:gridCol w:w="158"/>
      </w:tblGrid>
      <w:tr>
        <w:trPr/>
        <w:tc>
          <w:tcPr>
            <w:tcW w:w="248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46" w:type="dxa"/>
            <w:gridSpan w:val="6"/>
            <w:tcBorders/>
          </w:tcPr>
          <w:p>
            <w:pPr>
              <w:pStyle w:val="TableContents"/>
              <w:bidi w:val="0"/>
              <w:spacing w:before="0" w:after="283"/>
              <w:jc w:val="left"/>
              <w:rPr>
                <w:sz w:val="4"/>
                <w:szCs w:val="4"/>
              </w:rPr>
            </w:pPr>
            <w:r>
              <w:rPr>
                <w:sz w:val="4"/>
                <w:szCs w:val="4"/>
              </w:rPr>
            </w:r>
          </w:p>
        </w:tc>
      </w:tr>
      <w:tr>
        <w:trPr/>
        <w:tc>
          <w:tcPr>
            <w:tcW w:w="6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 (including related party revenues of $167,876 and $178,511 for the three months ended March 31, 2025 and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 (loss) income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289,989 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245,276 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242,304 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(47,733)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earnings allocated to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attributed to Pagaya Technologies Ltd.’s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Earnings (loss) per share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75,765,080 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77,043,464 </w:t>
            </w:r>
          </w:p>
        </w:tc>
        <w:tc>
          <w:tcPr>
            <w:tcW w:w="1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Includes income from proprietary investments. </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LOSS (UNAUDITED)</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0" w:after="0"/>
        <w:jc w:val="left"/>
        <w:rPr/>
      </w:pPr>
      <w:r>
        <w:rPr/>
      </w:r>
    </w:p>
    <w:tbl>
      <w:tblPr>
        <w:tblW w:w="9348" w:type="dxa"/>
        <w:jc w:val="left"/>
        <w:tblInd w:w="0" w:type="dxa"/>
        <w:tblLayout w:type="fixed"/>
        <w:tblCellMar>
          <w:top w:w="28" w:type="dxa"/>
          <w:left w:w="28" w:type="dxa"/>
          <w:bottom w:w="28" w:type="dxa"/>
          <w:right w:w="28" w:type="dxa"/>
        </w:tblCellMar>
      </w:tblPr>
      <w:tblGrid>
        <w:gridCol w:w="1787"/>
        <w:gridCol w:w="1570"/>
        <w:gridCol w:w="1578"/>
        <w:gridCol w:w="109"/>
        <w:gridCol w:w="109"/>
        <w:gridCol w:w="226"/>
        <w:gridCol w:w="226"/>
        <w:gridCol w:w="406"/>
        <w:gridCol w:w="1495"/>
        <w:gridCol w:w="226"/>
        <w:gridCol w:w="109"/>
        <w:gridCol w:w="109"/>
        <w:gridCol w:w="109"/>
        <w:gridCol w:w="196"/>
        <w:gridCol w:w="721"/>
        <w:gridCol w:w="109"/>
        <w:gridCol w:w="109"/>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16" w:type="dxa"/>
            <w:gridSpan w:val="8"/>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securities available for sale,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(7,989)</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 OF CHANGES IN REDEEMABLE CONVERTIBLE PREFERRED SHARES AND SHAREHOLDERS’ EQUITY (UNAUDITED) </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(In thousands, except share amounts) </w:t>
      </w:r>
    </w:p>
    <w:tbl>
      <w:tblPr>
        <w:tblW w:w="14135" w:type="dxa"/>
        <w:jc w:val="left"/>
        <w:tblInd w:w="0" w:type="dxa"/>
        <w:tblLayout w:type="fixed"/>
        <w:tblCellMar>
          <w:top w:w="28" w:type="dxa"/>
          <w:left w:w="28" w:type="dxa"/>
          <w:bottom w:w="28" w:type="dxa"/>
          <w:right w:w="28" w:type="dxa"/>
        </w:tblCellMar>
      </w:tblPr>
      <w:tblGrid>
        <w:gridCol w:w="460"/>
        <w:gridCol w:w="272"/>
        <w:gridCol w:w="274"/>
        <w:gridCol w:w="383"/>
        <w:gridCol w:w="383"/>
        <w:gridCol w:w="143"/>
        <w:gridCol w:w="109"/>
        <w:gridCol w:w="109"/>
        <w:gridCol w:w="109"/>
        <w:gridCol w:w="181"/>
        <w:gridCol w:w="571"/>
        <w:gridCol w:w="109"/>
        <w:gridCol w:w="109"/>
        <w:gridCol w:w="109"/>
        <w:gridCol w:w="109"/>
        <w:gridCol w:w="109"/>
        <w:gridCol w:w="109"/>
        <w:gridCol w:w="109"/>
        <w:gridCol w:w="420"/>
        <w:gridCol w:w="421"/>
        <w:gridCol w:w="181"/>
        <w:gridCol w:w="109"/>
        <w:gridCol w:w="109"/>
        <w:gridCol w:w="109"/>
        <w:gridCol w:w="181"/>
        <w:gridCol w:w="406"/>
        <w:gridCol w:w="109"/>
        <w:gridCol w:w="109"/>
        <w:gridCol w:w="109"/>
        <w:gridCol w:w="109"/>
        <w:gridCol w:w="181"/>
        <w:gridCol w:w="766"/>
        <w:gridCol w:w="109"/>
        <w:gridCol w:w="109"/>
        <w:gridCol w:w="109"/>
        <w:gridCol w:w="109"/>
        <w:gridCol w:w="230"/>
        <w:gridCol w:w="726"/>
        <w:gridCol w:w="140"/>
        <w:gridCol w:w="109"/>
        <w:gridCol w:w="109"/>
        <w:gridCol w:w="109"/>
        <w:gridCol w:w="191"/>
        <w:gridCol w:w="683"/>
        <w:gridCol w:w="117"/>
        <w:gridCol w:w="109"/>
        <w:gridCol w:w="109"/>
        <w:gridCol w:w="109"/>
        <w:gridCol w:w="194"/>
        <w:gridCol w:w="694"/>
        <w:gridCol w:w="118"/>
        <w:gridCol w:w="109"/>
        <w:gridCol w:w="109"/>
        <w:gridCol w:w="109"/>
        <w:gridCol w:w="226"/>
        <w:gridCol w:w="808"/>
        <w:gridCol w:w="137"/>
        <w:gridCol w:w="109"/>
        <w:gridCol w:w="109"/>
        <w:gridCol w:w="109"/>
        <w:gridCol w:w="193"/>
        <w:gridCol w:w="692"/>
        <w:gridCol w:w="166"/>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Ordinary Shares </w:t>
              <w:br/>
              <w:t>(Class A and Class B)</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Pagaya Technologies Ltd. Shareholders’ Equity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 December 31, 2023</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62,043,246 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(542,637)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559,721 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106,028 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665,749 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upon exercise of share options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100,613 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660,447 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net of issuance cost of $5,312</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89,938 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89,938 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from the Equity Financing Purchase Agreement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298,057 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Contributions of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Return of capital to interests in consolidated VIEs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(2,515)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(24,723)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(24,723)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(21,531)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(21,223)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(21,223)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(10,439)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 March 31, 2024</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70,602,363 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1,214,969 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(24,279)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(563,860)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626,830 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99,081 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725,911 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4135" w:type="dxa"/>
        <w:jc w:val="left"/>
        <w:tblInd w:w="0" w:type="dxa"/>
        <w:tblLayout w:type="fixed"/>
        <w:tblCellMar>
          <w:top w:w="28" w:type="dxa"/>
          <w:left w:w="28" w:type="dxa"/>
          <w:bottom w:w="28" w:type="dxa"/>
          <w:right w:w="28" w:type="dxa"/>
        </w:tblCellMar>
      </w:tblPr>
      <w:tblGrid>
        <w:gridCol w:w="460"/>
        <w:gridCol w:w="272"/>
        <w:gridCol w:w="274"/>
        <w:gridCol w:w="383"/>
        <w:gridCol w:w="383"/>
        <w:gridCol w:w="143"/>
        <w:gridCol w:w="109"/>
        <w:gridCol w:w="109"/>
        <w:gridCol w:w="109"/>
        <w:gridCol w:w="181"/>
        <w:gridCol w:w="571"/>
        <w:gridCol w:w="109"/>
        <w:gridCol w:w="109"/>
        <w:gridCol w:w="109"/>
        <w:gridCol w:w="109"/>
        <w:gridCol w:w="109"/>
        <w:gridCol w:w="109"/>
        <w:gridCol w:w="109"/>
        <w:gridCol w:w="420"/>
        <w:gridCol w:w="421"/>
        <w:gridCol w:w="181"/>
        <w:gridCol w:w="109"/>
        <w:gridCol w:w="109"/>
        <w:gridCol w:w="109"/>
        <w:gridCol w:w="181"/>
        <w:gridCol w:w="406"/>
        <w:gridCol w:w="109"/>
        <w:gridCol w:w="109"/>
        <w:gridCol w:w="109"/>
        <w:gridCol w:w="109"/>
        <w:gridCol w:w="181"/>
        <w:gridCol w:w="766"/>
        <w:gridCol w:w="109"/>
        <w:gridCol w:w="109"/>
        <w:gridCol w:w="109"/>
        <w:gridCol w:w="109"/>
        <w:gridCol w:w="230"/>
        <w:gridCol w:w="726"/>
        <w:gridCol w:w="140"/>
        <w:gridCol w:w="109"/>
        <w:gridCol w:w="109"/>
        <w:gridCol w:w="109"/>
        <w:gridCol w:w="191"/>
        <w:gridCol w:w="683"/>
        <w:gridCol w:w="117"/>
        <w:gridCol w:w="109"/>
        <w:gridCol w:w="109"/>
        <w:gridCol w:w="109"/>
        <w:gridCol w:w="194"/>
        <w:gridCol w:w="694"/>
        <w:gridCol w:w="118"/>
        <w:gridCol w:w="109"/>
        <w:gridCol w:w="109"/>
        <w:gridCol w:w="109"/>
        <w:gridCol w:w="226"/>
        <w:gridCol w:w="808"/>
        <w:gridCol w:w="137"/>
        <w:gridCol w:w="109"/>
        <w:gridCol w:w="109"/>
        <w:gridCol w:w="109"/>
        <w:gridCol w:w="193"/>
        <w:gridCol w:w="692"/>
        <w:gridCol w:w="166"/>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Ordinary Shares </w:t>
              <w:br/>
              <w:t>(Class A and Class B)</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Pagaya Technologies Ltd. Shareholders’ Equity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Shareholders’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 December 31, 2024</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73,879,982 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(11,488)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(944,043)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326,491 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115,055 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441,546 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upon exercise of share options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381,271 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1,113,823 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14,129 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14,129 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ordinary shares upon employee stock purchase plan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55,876 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Return of capital to interests in consolidated VIEs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(4,439)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comprehensive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(15,882)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(15,882)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 March 31, 2025</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5,000,000 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75,430,952 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1,299,010 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(27,370)</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(936,150)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335,490 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105,313 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440,803 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w:t>
      </w:r>
    </w:p>
    <w:p>
      <w:pPr>
        <w:pStyle w:val="TextBody"/>
        <w:bidi w:val="0"/>
        <w:spacing w:lineRule="auto" w:line="312" w:before="0" w:after="0"/>
        <w:jc w:val="left"/>
        <w:rPr/>
      </w:pPr>
      <w:r>
        <w:rPr>
          <w:rFonts w:ascii="Times New Roman;sans-serif" w:hAnsi="Times New Roman;sans-serif"/>
          <w:b/>
          <w:color w:val="000000"/>
          <w:sz w:val="18"/>
        </w:rPr>
        <w:t>(In thousands)</w:t>
      </w:r>
      <w:r>
        <w:rPr>
          <w:color w:val="000000"/>
        </w:rPr>
        <w:t xml:space="preserve"> </w:t>
      </w:r>
    </w:p>
    <w:tbl>
      <w:tblPr>
        <w:tblW w:w="9076" w:type="dxa"/>
        <w:jc w:val="left"/>
        <w:tblInd w:w="0" w:type="dxa"/>
        <w:tblLayout w:type="fixed"/>
        <w:tblCellMar>
          <w:top w:w="28" w:type="dxa"/>
          <w:left w:w="28" w:type="dxa"/>
          <w:bottom w:w="28" w:type="dxa"/>
          <w:right w:w="28" w:type="dxa"/>
        </w:tblCellMar>
      </w:tblPr>
      <w:tblGrid>
        <w:gridCol w:w="2320"/>
        <w:gridCol w:w="2038"/>
        <w:gridCol w:w="2046"/>
        <w:gridCol w:w="196"/>
        <w:gridCol w:w="736"/>
        <w:gridCol w:w="109"/>
        <w:gridCol w:w="109"/>
        <w:gridCol w:w="109"/>
        <w:gridCol w:w="109"/>
        <w:gridCol w:w="196"/>
        <w:gridCol w:w="736"/>
        <w:gridCol w:w="109"/>
        <w:gridCol w:w="109"/>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including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 to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 on investments in loans and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investments in loans and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Write-off of capitalized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Loss on foreign exchange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Fees and other receivables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on investments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sale/maturity/prepayment of: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loans and securities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acquired from Theorem Technology, Inc.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the purchase of:</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loans and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ordinary shares,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secured borrowing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received from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 warrants and contributions to 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ordinary shares from the Equity Financing Purchase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made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secured borrowing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30"/>
        <w:gridCol w:w="2398"/>
        <w:gridCol w:w="2404"/>
        <w:gridCol w:w="196"/>
        <w:gridCol w:w="736"/>
        <w:gridCol w:w="109"/>
        <w:gridCol w:w="109"/>
        <w:gridCol w:w="109"/>
        <w:gridCol w:w="109"/>
        <w:gridCol w:w="196"/>
        <w:gridCol w:w="736"/>
        <w:gridCol w:w="109"/>
        <w:gridCol w:w="109"/>
        <w:gridCol w:w="155"/>
      </w:tblGrid>
      <w:tr>
        <w:trPr/>
        <w:tc>
          <w:tcPr>
            <w:tcW w:w="2730"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within the consolidated balance sheet to the amounts shown in the statements of cash flow above: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Accrued interest receivable of $14.3 million, previously reported within “Fee and other receivables” as of December 31, 2024, has been reclassified to “Investment in loans and securities” to conform to the current period’s presentation.</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NOTE 1 - BUSINESS DESCRIPTION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and (iii) other similar vehicles (“Financing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Pagaya Technologies Ltd. was founded in 2016 and is organized under the laws of the State of Israel. Pagaya has its primary offices in the United States and Israel.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18"/>
        </w:rPr>
      </w:pPr>
      <w:r>
        <w:rPr>
          <w:rFonts w:ascii="Times New Roman;sans-serif" w:hAnsi="Times New Roman;sans-serif"/>
          <w:b/>
          <w:color w:val="000000"/>
          <w:sz w:val="18"/>
        </w:rPr>
        <w:t xml:space="preserve">NOTE 2 - SUMMARY OF SIGNIFICANT ACCOUNTING POLICIES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Basis of Presentation and Principles of Consolidation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unaudited condensed consolidated financial statements were derived from the audited consolidated financial statements,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2024 included in the Company’s Annual Report on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March 31, 2025 and the Company’s consolidated results of operations and shareholders’ equity for the three months ended March 31, 2025 and 2024, and cash flows for the three months ended March 31, 2025 and 2024. The results for the three months ended March 31, 2025 are not necessarily indicative of the results to be expected for the full year ending December 31, 2025 or any other future interim or annual period.</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Significant Accounting Policies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There were no material changes to our significant accounting policies as disclosed in Note 2, Summary of Significant Accounting Policies, in the Company’s Annual Report on Form 10-K for the year ended December 31, 2024, which was filed with the SEC on March 12,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Reclassification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Certain prior year amounts have been reclassified to conform to the current period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Recent Accounting Pronouncements Not Yet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December 2023, the FASB issued ASU 2023-09, Income Taxes (Topic 740): Improvements to Income Tax Disclosures. The amendments in this update require entities to disclose specific categories in the effective tax rate reconciliation and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the Company for annual periods beginning after December 15, 2024, with early adoption permitted. The Company is currently evaluating the impact of these amendments on its consolidated financial statements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consolidated statements of income as well as disclosure about selling expense. The effective date for this update was amended by ASU 2025-01 Income Statement-Reporting Comprehensive Income-Expense Disaggregation Disclosures (Subtopic 220-40): Clarifying the Effective Date, and is now effective for annual periods beginning after December 15, 2026, and interim reporting periods within annual reporting periods beginning after December 15, 2027. It could be applied either prospectively or retrospectively. The Company is currently evaluating the impact of these amendments on its consolidated financial statement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pass-through and forward flow transactions. Capital markets execution fees are earned from the market pricing of ABS transactions while contract fees are management, performance and similar fees. These fees are the result of agreements with customers and are recognized in accordance with FASB Accounting Standards Codification 606, “Revenue from Contracts with Customers” (“ASC 606”).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Network AI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Network AI fees, comprised of AI integration fees and capital markets execution fees, totaled $253.4 million and $215.3 million for the three months ended March 31, 2025 and 2024, respectively. The Company recognizes Network AI fees primarily at a point in time when the related performance obligation is satisfied and the payment term is generally 30 days. From time to time the Company may provide certain incentives to Financing Vehicles. When the Company determines that an incentive is consideration payable, which is not in exchange for distinct goods or services, to a customer, the incentive is recorded as a reduction of revenue. Expenses to third parties for services that are integrated with the Company’s technology are recorded in the consolidated statements of income as Production Costs.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Contract Fees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fees include administration and management fees, performances fees, and servicing fees. Contract fees totaled $29.3 million and $21.7 million for the three months ended March 31, 2025 and 2024, respectively. All of these fees are recognized over the service period for the Financing Vehicles managed or administered by the Company and the payment term is monthly as a fixed percentage of the entity’s assets, except for the portion of management fees that are recognized at the point in time based on contract terms.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Performance fees are earned when certain Fund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of Financing Vehicles. As such, there are revenues that result from performance obligations satisfied in the previous year. During the three months ended March 31, 2025, $0.6 million worth of fees represent performance obligations satisfied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previous year that were less than the original estimate. During the three months ended March 31, 2024, $3.3 million worth of fees represent performance obligations satisfied in the previous year that were greater than the original estimate.</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Servicing fees for the Financing Vehicles, which primarily involve collecting payments and providing reporting on the loans within the securitization vehicles, are recognized over the service period and payment is received monthly from the Financing Vehicles. These duties have been considered to be agent responsibilities and does not include acting as a loan servicer. Accordingly, servicing fees are recorded on a net basis.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 Revenue From Fees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 </w:t>
      </w:r>
    </w:p>
    <w:p>
      <w:pPr>
        <w:pStyle w:val="TextBody"/>
        <w:bidi w:val="0"/>
        <w:spacing w:lineRule="auto" w:line="288" w:before="160" w:after="160"/>
        <w:jc w:val="both"/>
        <w:rPr>
          <w:rFonts w:ascii="Times New Roman;sans-serif" w:hAnsi="Times New Roman;sans-serif"/>
          <w:b w:val="false"/>
          <w:color w:val="000000"/>
          <w:sz w:val="18"/>
        </w:rPr>
      </w:pPr>
      <w:r>
        <w:rPr>
          <w:rFonts w:ascii="Times New Roman;sans-serif" w:hAnsi="Times New Roman;sans-serif"/>
          <w:b w:val="false"/>
          <w:color w:val="000000"/>
          <w:sz w:val="18"/>
        </w:rPr>
        <w:t>Once revenue is recognized, it is recorded on the balance sheet in fees and other receivables until the payment is received from the customer. The timing of the recognition depends on the type of service as described above.  </w:t>
      </w:r>
    </w:p>
    <w:tbl>
      <w:tblPr>
        <w:tblW w:w="7172" w:type="dxa"/>
        <w:jc w:val="left"/>
        <w:tblInd w:w="0" w:type="dxa"/>
        <w:tblLayout w:type="fixed"/>
        <w:tblCellMar>
          <w:top w:w="28" w:type="dxa"/>
          <w:left w:w="28" w:type="dxa"/>
          <w:bottom w:w="28" w:type="dxa"/>
          <w:right w:w="28" w:type="dxa"/>
        </w:tblCellMar>
      </w:tblPr>
      <w:tblGrid>
        <w:gridCol w:w="994"/>
        <w:gridCol w:w="874"/>
        <w:gridCol w:w="877"/>
        <w:gridCol w:w="109"/>
        <w:gridCol w:w="109"/>
        <w:gridCol w:w="223"/>
        <w:gridCol w:w="223"/>
        <w:gridCol w:w="401"/>
        <w:gridCol w:w="1508"/>
        <w:gridCol w:w="223"/>
        <w:gridCol w:w="109"/>
        <w:gridCol w:w="109"/>
        <w:gridCol w:w="109"/>
        <w:gridCol w:w="196"/>
        <w:gridCol w:w="736"/>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transferred at a point in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transferred 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282,704 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had no material contract assets, contract liabilities, or deferred contract costs recorded as of March 31, 2025 or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Concentrations of Credit Risk and Significant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Financial instruments, which potentially subject the Company to concentration of credit risk, consist primarily of cash and cash equivalents, restricted cash and fees receivable. Cash and cash equivalents are principally maintained with major financial institutions, which management assesses to be of high credit quality. The Company has not experienced any losses on these 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fees receivable balances are predominantly with agreements with customers, and these are subject to normal credit risks which management believes to be not significant.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Significant customers are those which represent 10% or more of the Company’s total revenue for each respective period presented. Two related parties, individually represented greater than 10% of total revenue and collectively totaled approximately 35% for three months ended March 31, 2025. Four customers, including three related parties, individually represented greater than 10% of total revenue and collectively totaled approximately 57% for the three months ended March 31, 2024.</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NOTE 4 - BORROWINGS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sets forth the the Company’s outstanding borrowings, inclusive of current and non-current portions, as of the date indicated (in thousands): </w:t>
      </w:r>
    </w:p>
    <w:p>
      <w:pPr>
        <w:pStyle w:val="TextBody"/>
        <w:bidi w:val="0"/>
        <w:spacing w:before="0" w:after="0"/>
        <w:jc w:val="both"/>
        <w:rPr/>
      </w:pPr>
      <w:r>
        <w:rPr/>
      </w:r>
    </w:p>
    <w:tbl>
      <w:tblPr>
        <w:tblW w:w="4766" w:type="dxa"/>
        <w:jc w:val="left"/>
        <w:tblInd w:w="0" w:type="dxa"/>
        <w:tblLayout w:type="fixed"/>
        <w:tblCellMar>
          <w:top w:w="28" w:type="dxa"/>
          <w:left w:w="28" w:type="dxa"/>
          <w:bottom w:w="28" w:type="dxa"/>
          <w:right w:w="28" w:type="dxa"/>
        </w:tblCellMar>
      </w:tblPr>
      <w:tblGrid>
        <w:gridCol w:w="564"/>
        <w:gridCol w:w="496"/>
        <w:gridCol w:w="499"/>
        <w:gridCol w:w="243"/>
        <w:gridCol w:w="912"/>
        <w:gridCol w:w="135"/>
        <w:gridCol w:w="109"/>
        <w:gridCol w:w="109"/>
        <w:gridCol w:w="109"/>
        <w:gridCol w:w="287"/>
        <w:gridCol w:w="1078"/>
        <w:gridCol w:w="225"/>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Secured borrowings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178,749 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176,089 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Exchangeable notes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was in compliance with all covenants as of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Secured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 xml:space="preserve">Risk Retention Master Repurchase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These agreements with counterparties generally contain contractual provisions allowing the counterparty the right to sell or repledge the collateral. Pledged securities owned that can be sold or repledge by the counterparty are included in Investments in loans and securities in the Company’s balance sheet. As of March 31, 2025 and December 31, 2024, the outstanding principal balance under the repurchase agreements was $153.7 million and $144.0 million, respectively, which is recorded within secured borrowing on the consolidated balance sheet, with a weighted average interest rate of approximately fifteen percent. The average remaining contractual maturities of the repurchase agreements were greater than 90 days as of both March 31, 2025 and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October 2022, Pagaya Receivables LLC, a wholly-owned subsidiary, entered into a Loan and Security Agreement (the “LSA Agreement”) with certain lenders, which provides for a 3-year loan facility (the “Receivables Facility”) in a maximum principal amount of $22 million to finance certain eligible receivables purchased from sponsored securitization transactions. In June 2023, the Company amended the agreement and increased the maximum principal amount by $10 million to $32 million. In June 2024, the Company amended the agreement pursuant to which the maximum principal amount was increased from $32 million to $45 million and the term was extended until June 2026. Borrowings under the Receivables Facility bear interest at a rate per annum equal to the adjusted term Secured Overnight Financing Rate (subject to a 0.00% floor) plus a margin of 3.50%, and the balance is repaid using cash proceeds received from the receivables. As of March 31, 2025 and December 31, 2024, the outstanding principal balance under the Receivables Facility was $25.1 million and $31.9 million, respectively, which is recorded within secured borrowing on the consolidated balance sheet.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Long-Term Debt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November 2024, the Company entered into Amendment No. 2 (the “Amendment”) to the Credit Agreement. Pursuant to the Amendment, the Company incurred incremental term loans in an aggregate principal amount $100 million, bringing the total principal amount of the Term Loan Facility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$58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 Accrued interest of $2.5 million and $2.8 million was recorded within accrued expenses and other liabilities on the consolidated balance sheet as of March 31, 2025 and December 31, 2024,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the Company had an outstanding balance of $317.9 million, which is recorded within long-term debt on the unaudited condensed consolidated balance sheet, and its aggregate future maturities consists of the following (in thousands):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4785" w:type="dxa"/>
        <w:jc w:val="left"/>
        <w:tblInd w:w="0" w:type="dxa"/>
        <w:tblLayout w:type="fixed"/>
        <w:tblCellMar>
          <w:top w:w="28" w:type="dxa"/>
          <w:left w:w="28" w:type="dxa"/>
          <w:bottom w:w="28" w:type="dxa"/>
          <w:right w:w="28" w:type="dxa"/>
        </w:tblCellMar>
      </w:tblPr>
      <w:tblGrid>
        <w:gridCol w:w="1244"/>
        <w:gridCol w:w="1096"/>
        <w:gridCol w:w="1110"/>
        <w:gridCol w:w="241"/>
        <w:gridCol w:w="905"/>
        <w:gridCol w:w="189"/>
      </w:tblGrid>
      <w:tr>
        <w:trPr/>
        <w:tc>
          <w:tcPr>
            <w:tcW w:w="124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336,563 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 of debt issuance costs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317,919 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the Company had letters of credit issued in the amount of $24.7 million, and $33.3 million of remaining capacity available under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December 31, 2024, the Company had letters of credit issued in the amount of $24.3 million, with $25.7 million of remaining capacity available under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Exchangeable Senior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 October 1, 2024, the Company, through a wholly owned subsidiary of the Company, issued $160 million aggregate principal amount of its 6.125% Exchangeable Senior Notes (“Notes”) due 2029. The issuance was in connection with a purchase agreement dated September 26, 2024, with certain initial purchasers. The Notes bear interest at a rate of 6.125% per annum, payable semiannually in arrears on April 1 and October 1 of each year, beginning April 1, 2025. The Notes will mature on October 1, 2029, unless earlier repurchased, redeemed, or exchanged.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accounted for the issuance of the Notes as a single liability at par as the conversion feature does not require bifurcation as a derivative under ASC 815 and the Notes were not issued at a substantial premium. Debt issuance costs related to the Notes totaled $6.2 million and consisted of underwriting fees and third-party offering costs, which are amortized to interest expense using the effective interest method over the contractual term. The Company recorded $3.0 million of interest expense, including $0.6 million of amortization of debt issuance costs, three months ended March 31, 2025. The effective interest rate of the Notes is 8.7%.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18"/>
        </w:rPr>
      </w:pPr>
      <w:r>
        <w:rPr>
          <w:rFonts w:ascii="Times New Roman;sans-serif" w:hAnsi="Times New Roman;sans-serif"/>
          <w:b/>
          <w:color w:val="000000"/>
          <w:sz w:val="18"/>
        </w:rPr>
        <w:t>NOTE 5 -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Investments in Loans and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amortized cost, gross unrealized gains and losses, allowance for credit losses, and fair value of investments in loans and securities as of March 31, 2025 and December 31, 2024 were as follows (in thousands). As provided in Note 6, a portion of these investments in loans and securities are consolidated as a result of the Company’s determination that it is the primary beneficiary of certain VIEs.</w:t>
      </w:r>
    </w:p>
    <w:tbl>
      <w:tblPr>
        <w:tblW w:w="10205" w:type="dxa"/>
        <w:jc w:val="left"/>
        <w:tblInd w:w="0" w:type="dxa"/>
        <w:tblLayout w:type="fixed"/>
        <w:tblCellMar>
          <w:top w:w="28" w:type="dxa"/>
          <w:left w:w="28" w:type="dxa"/>
          <w:bottom w:w="28" w:type="dxa"/>
          <w:right w:w="28" w:type="dxa"/>
        </w:tblCellMar>
      </w:tblPr>
      <w:tblGrid>
        <w:gridCol w:w="1073"/>
        <w:gridCol w:w="936"/>
        <w:gridCol w:w="941"/>
        <w:gridCol w:w="196"/>
        <w:gridCol w:w="871"/>
        <w:gridCol w:w="109"/>
        <w:gridCol w:w="109"/>
        <w:gridCol w:w="109"/>
        <w:gridCol w:w="109"/>
        <w:gridCol w:w="216"/>
        <w:gridCol w:w="617"/>
        <w:gridCol w:w="121"/>
        <w:gridCol w:w="109"/>
        <w:gridCol w:w="109"/>
        <w:gridCol w:w="109"/>
        <w:gridCol w:w="196"/>
        <w:gridCol w:w="694"/>
        <w:gridCol w:w="109"/>
        <w:gridCol w:w="109"/>
        <w:gridCol w:w="109"/>
        <w:gridCol w:w="109"/>
        <w:gridCol w:w="307"/>
        <w:gridCol w:w="1249"/>
        <w:gridCol w:w="171"/>
        <w:gridCol w:w="109"/>
        <w:gridCol w:w="109"/>
        <w:gridCol w:w="109"/>
        <w:gridCol w:w="196"/>
        <w:gridCol w:w="736"/>
        <w:gridCol w:w="159"/>
      </w:tblGrid>
      <w:tr>
        <w:trPr/>
        <w:tc>
          <w:tcPr>
            <w:tcW w:w="10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sale(1):</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r>
      <w:tr>
        <w:trPr/>
        <w:tc>
          <w:tcPr>
            <w:tcW w:w="29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513,997 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(466,520)</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760,493 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 Includes accrued interest receivable of $16.1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73"/>
        <w:gridCol w:w="936"/>
        <w:gridCol w:w="941"/>
        <w:gridCol w:w="196"/>
        <w:gridCol w:w="871"/>
        <w:gridCol w:w="109"/>
        <w:gridCol w:w="109"/>
        <w:gridCol w:w="109"/>
        <w:gridCol w:w="109"/>
        <w:gridCol w:w="216"/>
        <w:gridCol w:w="617"/>
        <w:gridCol w:w="121"/>
        <w:gridCol w:w="109"/>
        <w:gridCol w:w="109"/>
        <w:gridCol w:w="109"/>
        <w:gridCol w:w="196"/>
        <w:gridCol w:w="694"/>
        <w:gridCol w:w="109"/>
        <w:gridCol w:w="109"/>
        <w:gridCol w:w="109"/>
        <w:gridCol w:w="109"/>
        <w:gridCol w:w="307"/>
        <w:gridCol w:w="1249"/>
        <w:gridCol w:w="171"/>
        <w:gridCol w:w="109"/>
        <w:gridCol w:w="109"/>
        <w:gridCol w:w="109"/>
        <w:gridCol w:w="196"/>
        <w:gridCol w:w="736"/>
        <w:gridCol w:w="159"/>
      </w:tblGrid>
      <w:tr>
        <w:trPr/>
        <w:tc>
          <w:tcPr>
            <w:tcW w:w="10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r>
      <w:tr>
        <w:trPr/>
        <w:tc>
          <w:tcPr>
            <w:tcW w:w="29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533,243 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loans and receivables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(510,294)</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778,409 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(2) Includes accrued interest receivable of $14.3 million, previously reported within “Fee and other receivables” as of December 31, 2024, has been reclassified to conform to the current period’s presentation.</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set forth the fair value and gross unrealized losses on investments in loans and securities without an allowance for credit losses aggregated by investment category and length of time that individual securities had been in a continuous unrealized loss position, as of the dates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5"/>
        <w:gridCol w:w="707"/>
        <w:gridCol w:w="711"/>
        <w:gridCol w:w="201"/>
        <w:gridCol w:w="663"/>
        <w:gridCol w:w="111"/>
        <w:gridCol w:w="111"/>
        <w:gridCol w:w="111"/>
        <w:gridCol w:w="111"/>
        <w:gridCol w:w="299"/>
        <w:gridCol w:w="666"/>
        <w:gridCol w:w="168"/>
        <w:gridCol w:w="109"/>
        <w:gridCol w:w="109"/>
        <w:gridCol w:w="109"/>
        <w:gridCol w:w="196"/>
        <w:gridCol w:w="646"/>
        <w:gridCol w:w="109"/>
        <w:gridCol w:w="109"/>
        <w:gridCol w:w="109"/>
        <w:gridCol w:w="109"/>
        <w:gridCol w:w="299"/>
        <w:gridCol w:w="666"/>
        <w:gridCol w:w="168"/>
        <w:gridCol w:w="109"/>
        <w:gridCol w:w="109"/>
        <w:gridCol w:w="109"/>
        <w:gridCol w:w="196"/>
        <w:gridCol w:w="646"/>
        <w:gridCol w:w="109"/>
        <w:gridCol w:w="109"/>
        <w:gridCol w:w="109"/>
        <w:gridCol w:w="109"/>
        <w:gridCol w:w="293"/>
        <w:gridCol w:w="653"/>
        <w:gridCol w:w="242"/>
      </w:tblGrid>
      <w:tr>
        <w:trPr/>
        <w:tc>
          <w:tcPr>
            <w:tcW w:w="81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2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233"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8"/>
        <w:gridCol w:w="746"/>
        <w:gridCol w:w="750"/>
        <w:gridCol w:w="230"/>
        <w:gridCol w:w="390"/>
        <w:gridCol w:w="128"/>
        <w:gridCol w:w="126"/>
        <w:gridCol w:w="126"/>
        <w:gridCol w:w="126"/>
        <w:gridCol w:w="398"/>
        <w:gridCol w:w="533"/>
        <w:gridCol w:w="222"/>
        <w:gridCol w:w="109"/>
        <w:gridCol w:w="109"/>
        <w:gridCol w:w="109"/>
        <w:gridCol w:w="196"/>
        <w:gridCol w:w="646"/>
        <w:gridCol w:w="109"/>
        <w:gridCol w:w="109"/>
        <w:gridCol w:w="109"/>
        <w:gridCol w:w="109"/>
        <w:gridCol w:w="305"/>
        <w:gridCol w:w="678"/>
        <w:gridCol w:w="171"/>
        <w:gridCol w:w="109"/>
        <w:gridCol w:w="109"/>
        <w:gridCol w:w="109"/>
        <w:gridCol w:w="196"/>
        <w:gridCol w:w="646"/>
        <w:gridCol w:w="109"/>
        <w:gridCol w:w="109"/>
        <w:gridCol w:w="109"/>
        <w:gridCol w:w="109"/>
        <w:gridCol w:w="298"/>
        <w:gridCol w:w="665"/>
        <w:gridCol w:w="245"/>
      </w:tblGrid>
      <w:tr>
        <w:trPr/>
        <w:tc>
          <w:tcPr>
            <w:tcW w:w="85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sets forth the amortized cost and fair value of investments in loans and securities by contractual maturities, as of the date indicated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4"/>
        <w:gridCol w:w="564"/>
        <w:gridCol w:w="568"/>
        <w:gridCol w:w="213"/>
        <w:gridCol w:w="702"/>
        <w:gridCol w:w="118"/>
        <w:gridCol w:w="109"/>
        <w:gridCol w:w="109"/>
        <w:gridCol w:w="109"/>
        <w:gridCol w:w="196"/>
        <w:gridCol w:w="646"/>
        <w:gridCol w:w="109"/>
        <w:gridCol w:w="109"/>
        <w:gridCol w:w="109"/>
        <w:gridCol w:w="109"/>
        <w:gridCol w:w="217"/>
        <w:gridCol w:w="969"/>
        <w:gridCol w:w="121"/>
        <w:gridCol w:w="121"/>
        <w:gridCol w:w="121"/>
        <w:gridCol w:w="121"/>
        <w:gridCol w:w="217"/>
        <w:gridCol w:w="819"/>
        <w:gridCol w:w="121"/>
        <w:gridCol w:w="109"/>
        <w:gridCol w:w="109"/>
        <w:gridCol w:w="109"/>
        <w:gridCol w:w="201"/>
        <w:gridCol w:w="895"/>
        <w:gridCol w:w="111"/>
        <w:gridCol w:w="109"/>
        <w:gridCol w:w="109"/>
        <w:gridCol w:w="109"/>
        <w:gridCol w:w="196"/>
        <w:gridCol w:w="736"/>
        <w:gridCol w:w="161"/>
      </w:tblGrid>
      <w:tr>
        <w:trPr/>
        <w:tc>
          <w:tcPr>
            <w:tcW w:w="65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2025</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989,238 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999,129 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513,997 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1,236,211 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740,828 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1,249,671 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62"/>
        <w:gridCol w:w="571"/>
        <w:gridCol w:w="574"/>
        <w:gridCol w:w="212"/>
        <w:gridCol w:w="699"/>
        <w:gridCol w:w="117"/>
        <w:gridCol w:w="109"/>
        <w:gridCol w:w="109"/>
        <w:gridCol w:w="109"/>
        <w:gridCol w:w="196"/>
        <w:gridCol w:w="646"/>
        <w:gridCol w:w="109"/>
        <w:gridCol w:w="109"/>
        <w:gridCol w:w="109"/>
        <w:gridCol w:w="109"/>
        <w:gridCol w:w="216"/>
        <w:gridCol w:w="964"/>
        <w:gridCol w:w="120"/>
        <w:gridCol w:w="120"/>
        <w:gridCol w:w="120"/>
        <w:gridCol w:w="120"/>
        <w:gridCol w:w="216"/>
        <w:gridCol w:w="814"/>
        <w:gridCol w:w="120"/>
        <w:gridCol w:w="109"/>
        <w:gridCol w:w="109"/>
        <w:gridCol w:w="109"/>
        <w:gridCol w:w="201"/>
        <w:gridCol w:w="893"/>
        <w:gridCol w:w="111"/>
        <w:gridCol w:w="109"/>
        <w:gridCol w:w="109"/>
        <w:gridCol w:w="109"/>
        <w:gridCol w:w="196"/>
        <w:gridCol w:w="736"/>
        <w:gridCol w:w="164"/>
      </w:tblGrid>
      <w:tr>
        <w:trPr/>
        <w:tc>
          <w:tcPr>
            <w:tcW w:w="6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 (2):</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1,037,180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533,243</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1,273,485 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756,322 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1,295,576 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778,409 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Based on expected maturity date cash flows.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Includes accrued interest receivable of $14.3 million, previously reported within “Fee and other receivables” as of December 31, 2024, has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gross proceeds and related investment gains (losses), as well as losses on write-downs and the allowance for credit losses of securities, for the periods indicated (in thousands):</w:t>
      </w:r>
    </w:p>
    <w:tbl>
      <w:tblPr>
        <w:tblW w:w="9595" w:type="dxa"/>
        <w:jc w:val="left"/>
        <w:tblInd w:w="0" w:type="dxa"/>
        <w:tblLayout w:type="fixed"/>
        <w:tblCellMar>
          <w:top w:w="28" w:type="dxa"/>
          <w:left w:w="28" w:type="dxa"/>
          <w:bottom w:w="28" w:type="dxa"/>
          <w:right w:w="28" w:type="dxa"/>
        </w:tblCellMar>
      </w:tblPr>
      <w:tblGrid>
        <w:gridCol w:w="1532"/>
        <w:gridCol w:w="1345"/>
        <w:gridCol w:w="1353"/>
        <w:gridCol w:w="109"/>
        <w:gridCol w:w="859"/>
        <w:gridCol w:w="859"/>
        <w:gridCol w:w="862"/>
        <w:gridCol w:w="109"/>
        <w:gridCol w:w="196"/>
        <w:gridCol w:w="646"/>
        <w:gridCol w:w="109"/>
        <w:gridCol w:w="109"/>
        <w:gridCol w:w="109"/>
        <w:gridCol w:w="109"/>
        <w:gridCol w:w="196"/>
        <w:gridCol w:w="721"/>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76" w:type="dxa"/>
            <w:gridSpan w:val="12"/>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sales/maturities/prepayments</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gains from sales and maturities</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the allowance</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Reductions (additions) to 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set forth the activity in the allowance for credit losses for investments in loans and securities, as of the dates indicated (in thousands):</w:t>
      </w:r>
    </w:p>
    <w:tbl>
      <w:tblPr>
        <w:tblW w:w="10205" w:type="dxa"/>
        <w:jc w:val="left"/>
        <w:tblInd w:w="0" w:type="dxa"/>
        <w:tblLayout w:type="fixed"/>
        <w:tblCellMar>
          <w:top w:w="28" w:type="dxa"/>
          <w:left w:w="28" w:type="dxa"/>
          <w:bottom w:w="28" w:type="dxa"/>
          <w:right w:w="28" w:type="dxa"/>
        </w:tblCellMar>
      </w:tblPr>
      <w:tblGrid>
        <w:gridCol w:w="1216"/>
        <w:gridCol w:w="978"/>
        <w:gridCol w:w="987"/>
        <w:gridCol w:w="318"/>
        <w:gridCol w:w="928"/>
        <w:gridCol w:w="178"/>
        <w:gridCol w:w="109"/>
        <w:gridCol w:w="109"/>
        <w:gridCol w:w="109"/>
        <w:gridCol w:w="308"/>
        <w:gridCol w:w="1186"/>
        <w:gridCol w:w="172"/>
        <w:gridCol w:w="109"/>
        <w:gridCol w:w="109"/>
        <w:gridCol w:w="109"/>
        <w:gridCol w:w="403"/>
        <w:gridCol w:w="1178"/>
        <w:gridCol w:w="228"/>
        <w:gridCol w:w="109"/>
        <w:gridCol w:w="109"/>
        <w:gridCol w:w="109"/>
        <w:gridCol w:w="196"/>
        <w:gridCol w:w="787"/>
        <w:gridCol w:w="161"/>
      </w:tblGrid>
      <w:tr>
        <w:trPr/>
        <w:tc>
          <w:tcPr>
            <w:tcW w:w="12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(508,741)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(510,294)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allowance for credit losses not previously recorded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securities sold during the period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(reductions) on securities with previous allowance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the allowance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(462,436)</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(466,520)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2"/>
        <w:gridCol w:w="995"/>
        <w:gridCol w:w="1004"/>
        <w:gridCol w:w="389"/>
        <w:gridCol w:w="808"/>
        <w:gridCol w:w="217"/>
        <w:gridCol w:w="109"/>
        <w:gridCol w:w="109"/>
        <w:gridCol w:w="109"/>
        <w:gridCol w:w="305"/>
        <w:gridCol w:w="1173"/>
        <w:gridCol w:w="170"/>
        <w:gridCol w:w="109"/>
        <w:gridCol w:w="109"/>
        <w:gridCol w:w="109"/>
        <w:gridCol w:w="397"/>
        <w:gridCol w:w="1159"/>
        <w:gridCol w:w="224"/>
        <w:gridCol w:w="109"/>
        <w:gridCol w:w="109"/>
        <w:gridCol w:w="109"/>
        <w:gridCol w:w="196"/>
        <w:gridCol w:w="785"/>
        <w:gridCol w:w="160"/>
      </w:tblGrid>
      <w:tr>
        <w:trPr/>
        <w:tc>
          <w:tcPr>
            <w:tcW w:w="124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(98,679)</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allowance for credit losses not previously recorded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Additions to the allowance for credit losses arising from purchases </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(reductions) on securities with previous allowance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the allowance</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1"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(121,349)</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(126,360)</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Equity Method and Other Investments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investments, including those accounted for under the equity method, are included within Equity method and other investments in the consolidated balance sheets as of March 31, 2025 and December 31, 2024 (in thousands): </w:t>
      </w:r>
    </w:p>
    <w:p>
      <w:pPr>
        <w:pStyle w:val="TextBody"/>
        <w:bidi w:val="0"/>
        <w:spacing w:before="0" w:after="0"/>
        <w:jc w:val="both"/>
        <w:rPr/>
      </w:pPr>
      <w:r>
        <w:rPr/>
      </w:r>
    </w:p>
    <w:tbl>
      <w:tblPr>
        <w:tblW w:w="6909" w:type="dxa"/>
        <w:jc w:val="left"/>
        <w:tblInd w:w="0" w:type="dxa"/>
        <w:tblLayout w:type="fixed"/>
        <w:tblCellMar>
          <w:top w:w="28" w:type="dxa"/>
          <w:left w:w="28" w:type="dxa"/>
          <w:bottom w:w="28" w:type="dxa"/>
          <w:right w:w="28" w:type="dxa"/>
        </w:tblCellMar>
      </w:tblPr>
      <w:tblGrid>
        <w:gridCol w:w="1340"/>
        <w:gridCol w:w="1180"/>
        <w:gridCol w:w="1184"/>
        <w:gridCol w:w="266"/>
        <w:gridCol w:w="876"/>
        <w:gridCol w:w="147"/>
        <w:gridCol w:w="109"/>
        <w:gridCol w:w="109"/>
        <w:gridCol w:w="109"/>
        <w:gridCol w:w="313"/>
        <w:gridCol w:w="1031"/>
        <w:gridCol w:w="245"/>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Pagaya SmartResi F1 Fund, LP (1)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 owns approximately 5.4% and is the general partner of Pagaya Smartresi F1 Fund LP.</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 Represents the Company’s proprietary investments. Income from these investments is included in Investment income in the consolidated statements of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NOTE 6 - CONSOLIDATION AND VARIABLE INTEREST ENTITIES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Consolidated VIEs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and December 31, 2024, the Company has determined that it is the primary beneficiary of Pagaya Structured Holdings LLC, Pagaya Structured Holdings II LLC, and Pagaya Structured Holding III LLC (“Risk Retention Entities”). As sponsor of securitization transactions, the Company is subject to risk retention requirements and established the Risk Retention Entities to meet these requirements.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Below is a summary of assets and liabilities from the Company’s involvement with consolidated VIEs (i.e., Risk Retention Entities) (in thousands): </w:t>
      </w:r>
    </w:p>
    <w:p>
      <w:pPr>
        <w:pStyle w:val="TextBody"/>
        <w:bidi w:val="0"/>
        <w:spacing w:lineRule="auto" w:line="288" w:before="160" w:after="283"/>
        <w:jc w:val="both"/>
        <w:rPr>
          <w:color w:val="000000"/>
        </w:rPr>
      </w:pPr>
      <w:r>
        <w:rPr>
          <w:color w:val="000000"/>
        </w:rPr>
        <w:t> </w:t>
      </w:r>
    </w:p>
    <w:tbl>
      <w:tblPr>
        <w:tblW w:w="5602" w:type="dxa"/>
        <w:jc w:val="left"/>
        <w:tblInd w:w="0" w:type="dxa"/>
        <w:tblLayout w:type="fixed"/>
        <w:tblCellMar>
          <w:top w:w="28" w:type="dxa"/>
          <w:left w:w="28" w:type="dxa"/>
          <w:bottom w:w="28" w:type="dxa"/>
          <w:right w:w="28" w:type="dxa"/>
        </w:tblCellMar>
      </w:tblPr>
      <w:tblGrid>
        <w:gridCol w:w="712"/>
        <w:gridCol w:w="624"/>
        <w:gridCol w:w="629"/>
        <w:gridCol w:w="196"/>
        <w:gridCol w:w="736"/>
        <w:gridCol w:w="109"/>
        <w:gridCol w:w="109"/>
        <w:gridCol w:w="109"/>
        <w:gridCol w:w="109"/>
        <w:gridCol w:w="235"/>
        <w:gridCol w:w="488"/>
        <w:gridCol w:w="133"/>
        <w:gridCol w:w="109"/>
        <w:gridCol w:w="109"/>
        <w:gridCol w:w="109"/>
        <w:gridCol w:w="196"/>
        <w:gridCol w:w="73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ans-serif" w:hAnsi="Times New Roman;sans-serif"/>
          <w:b/>
          <w:color w:val="000000"/>
          <w:sz w:val="18"/>
        </w:rPr>
        <w:t>Unconsolidated VIEs</w:t>
      </w:r>
      <w:r>
        <w:rPr>
          <w:color w:val="000000"/>
        </w:rPr>
        <w:t xml:space="preserv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Below is a summary of the Company’s direct interest in (i.e., not held through Risk Retention Entities) variable interests in nonconsolidated VIEs (in thousands):</w:t>
      </w:r>
    </w:p>
    <w:tbl>
      <w:tblPr>
        <w:tblW w:w="7709" w:type="dxa"/>
        <w:jc w:val="left"/>
        <w:tblInd w:w="0" w:type="dxa"/>
        <w:tblLayout w:type="fixed"/>
        <w:tblCellMar>
          <w:top w:w="28" w:type="dxa"/>
          <w:left w:w="28" w:type="dxa"/>
          <w:bottom w:w="28" w:type="dxa"/>
          <w:right w:w="28" w:type="dxa"/>
        </w:tblCellMar>
      </w:tblPr>
      <w:tblGrid>
        <w:gridCol w:w="712"/>
        <w:gridCol w:w="624"/>
        <w:gridCol w:w="629"/>
        <w:gridCol w:w="282"/>
        <w:gridCol w:w="1061"/>
        <w:gridCol w:w="157"/>
        <w:gridCol w:w="109"/>
        <w:gridCol w:w="109"/>
        <w:gridCol w:w="109"/>
        <w:gridCol w:w="429"/>
        <w:gridCol w:w="1612"/>
        <w:gridCol w:w="238"/>
        <w:gridCol w:w="109"/>
        <w:gridCol w:w="109"/>
        <w:gridCol w:w="109"/>
        <w:gridCol w:w="196"/>
        <w:gridCol w:w="961"/>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VIE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627,469 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10,382,325 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2024</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10,708,146 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may, but is not obligated to, purchase assets from the Financing Vehicles. Such repurchases occur at the Company’s discretion. See Note 9 for additional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NOTE 7 - LEASES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leases facilities under operating leases with various expiration dates through 2032. The Company leases office space in New York, Israel and several other locations.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security deposits for the leases are $2.9 million and $3.3 million as of March 31, 2025 and December 31, 2024, respectively, which have been recognized as restricted cash, non-current in the unaudited condensed consolidated balance sheets.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pStyle w:val="TextBody"/>
        <w:bidi w:val="0"/>
        <w:spacing w:before="0" w:after="0"/>
        <w:jc w:val="both"/>
        <w:rPr/>
      </w:pPr>
      <w:r>
        <w:rPr/>
      </w:r>
    </w:p>
    <w:tbl>
      <w:tblPr>
        <w:tblW w:w="5947" w:type="dxa"/>
        <w:jc w:val="left"/>
        <w:tblInd w:w="0" w:type="dxa"/>
        <w:tblLayout w:type="fixed"/>
        <w:tblCellMar>
          <w:top w:w="28" w:type="dxa"/>
          <w:left w:w="28" w:type="dxa"/>
          <w:bottom w:w="28" w:type="dxa"/>
          <w:right w:w="28" w:type="dxa"/>
        </w:tblCellMar>
      </w:tblPr>
      <w:tblGrid>
        <w:gridCol w:w="662"/>
        <w:gridCol w:w="583"/>
        <w:gridCol w:w="585"/>
        <w:gridCol w:w="109"/>
        <w:gridCol w:w="109"/>
        <w:gridCol w:w="442"/>
        <w:gridCol w:w="442"/>
        <w:gridCol w:w="796"/>
        <w:gridCol w:w="442"/>
        <w:gridCol w:w="456"/>
        <w:gridCol w:w="109"/>
        <w:gridCol w:w="109"/>
        <w:gridCol w:w="109"/>
        <w:gridCol w:w="220"/>
        <w:gridCol w:w="253"/>
        <w:gridCol w:w="258"/>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1" w:type="dxa"/>
            <w:gridSpan w:val="8"/>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income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 entered into sublease agreements for certain leased office space, and the amounts were included in other expense, net in the consolidated statements of income. For three months ended March 31, 2025 and 2024, the Company recognized $0 and $0.4 million of the sublease impairment loss,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Supplemental information related to the Company’s operating leases was as follows ($ in thousands):</w:t>
      </w:r>
    </w:p>
    <w:p>
      <w:pPr>
        <w:pStyle w:val="TextBody"/>
        <w:bidi w:val="0"/>
        <w:spacing w:before="0" w:after="0"/>
        <w:jc w:val="both"/>
        <w:rPr/>
      </w:pPr>
      <w:r>
        <w:rPr/>
      </w:r>
    </w:p>
    <w:tbl>
      <w:tblPr>
        <w:tblW w:w="6821" w:type="dxa"/>
        <w:jc w:val="left"/>
        <w:tblInd w:w="0" w:type="dxa"/>
        <w:tblLayout w:type="fixed"/>
        <w:tblCellMar>
          <w:top w:w="28" w:type="dxa"/>
          <w:left w:w="28" w:type="dxa"/>
          <w:bottom w:w="28" w:type="dxa"/>
          <w:right w:w="28" w:type="dxa"/>
        </w:tblCellMar>
      </w:tblPr>
      <w:tblGrid>
        <w:gridCol w:w="1310"/>
        <w:gridCol w:w="1150"/>
        <w:gridCol w:w="1155"/>
        <w:gridCol w:w="295"/>
        <w:gridCol w:w="295"/>
        <w:gridCol w:w="699"/>
        <w:gridCol w:w="109"/>
        <w:gridCol w:w="109"/>
        <w:gridCol w:w="109"/>
        <w:gridCol w:w="333"/>
        <w:gridCol w:w="333"/>
        <w:gridCol w:w="92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2260"/>
        <w:gridCol w:w="1987"/>
        <w:gridCol w:w="1993"/>
        <w:gridCol w:w="109"/>
        <w:gridCol w:w="109"/>
        <w:gridCol w:w="276"/>
        <w:gridCol w:w="276"/>
        <w:gridCol w:w="498"/>
        <w:gridCol w:w="1032"/>
        <w:gridCol w:w="276"/>
        <w:gridCol w:w="109"/>
        <w:gridCol w:w="109"/>
        <w:gridCol w:w="109"/>
        <w:gridCol w:w="196"/>
        <w:gridCol w:w="488"/>
        <w:gridCol w:w="109"/>
        <w:gridCol w:w="109"/>
        <w:gridCol w:w="160"/>
      </w:tblGrid>
      <w:tr>
        <w:trPr/>
        <w:tc>
          <w:tcPr>
            <w:tcW w:w="226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89" w:type="dxa"/>
            <w:gridSpan w:val="8"/>
            <w:tcBorders/>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recognized in exchange for new operating lease obligations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During the three months ended March 31, 2025 and 2024, $0 and $0.2 million of operating lease right-of-use assets and corresponding lease liability were derecognized as a result of early termination.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Maturities of the Company’s operating lease liabilities as of March 31, 2025 were as follows (in thousands): </w:t>
      </w:r>
    </w:p>
    <w:p>
      <w:pPr>
        <w:pStyle w:val="TextBody"/>
        <w:bidi w:val="0"/>
        <w:spacing w:before="120" w:after="283"/>
        <w:jc w:val="both"/>
        <w:rPr/>
      </w:pPr>
      <w:r>
        <w:rPr/>
      </w:r>
    </w:p>
    <w:tbl>
      <w:tblPr>
        <w:tblW w:w="3313" w:type="dxa"/>
        <w:jc w:val="left"/>
        <w:tblInd w:w="0" w:type="dxa"/>
        <w:tblLayout w:type="fixed"/>
        <w:tblCellMar>
          <w:top w:w="28" w:type="dxa"/>
          <w:left w:w="28" w:type="dxa"/>
          <w:bottom w:w="28" w:type="dxa"/>
          <w:right w:w="28" w:type="dxa"/>
        </w:tblCellMar>
      </w:tblPr>
      <w:tblGrid>
        <w:gridCol w:w="814"/>
        <w:gridCol w:w="714"/>
        <w:gridCol w:w="722"/>
        <w:gridCol w:w="196"/>
        <w:gridCol w:w="646"/>
        <w:gridCol w:w="221"/>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(9,058)</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NOTE 8 -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 xml:space="preserve">Legal Proceedings </w:t>
      </w:r>
      <w:r>
        <w:rPr>
          <w:color w:val="000000"/>
        </w:rPr>
        <w:t xml:space="preserve">— </w:t>
      </w:r>
      <w:r>
        <w:rPr>
          <w:rFonts w:ascii="Times New Roman;sans-serif" w:hAnsi="Times New Roman;sans-serif"/>
          <w:b w:val="false"/>
          <w:color w:val="000000"/>
          <w:sz w:val="18"/>
        </w:rPr>
        <w:t xml:space="preserve">From time to time the Company is subject to legal proceedings and claims in the ordinary course of business. The results of such matters often cannot 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matters, to the extent such matters existed, have been recorded in accrued expenses and other liabilities on the consolidated statements of balance sheets and these matters are immaterial.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 xml:space="preserve">Contractual Obligations and Commitments </w:t>
      </w:r>
      <w:r>
        <w:rPr>
          <w:color w:val="000000"/>
        </w:rPr>
        <w:t xml:space="preserve">— </w:t>
      </w:r>
      <w:r>
        <w:rPr>
          <w:rFonts w:ascii="Times New Roman;sans-serif" w:hAnsi="Times New Roman;sans-serif"/>
          <w:b w:val="false"/>
          <w:color w:val="000000"/>
          <w:sz w:val="18"/>
        </w:rPr>
        <w:t xml:space="preserve">During 2023, the Company entered into a purchase commitment with our third-party cloud computing web services provider, which included an annual purchase commitment of $8.5 million for the period from October 2023 through September 2025. As of March 31, 2025, the total remaining contractual obligations are approximately $2.4 million, all of which is for the next 12 months. The Company may pay more than the minimum purchase commitment based on usage.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October 2024, the Company completed the acquisition of Theorem Technology, Inc. (“Theorem”), a Silicon Valley-based institutional asset manager focused exclusively on the consumer credit space, managing assets for global institutional investors since its founding in 2014. The Company acquired 100% of Theorem’s equity for approximately $17.5 million, consisting of $10.0 million cash and 504,440 of the Company’s Class A Ordinary Shares ($7.5 million worth as of the closing date), with an additional contingent consideration based on achievement of certain performance objectives defined in the purchase agreement. The Company established contingent consideration liability is reported at fair value, which is determined based on the present value of an expected payment under the arrangement, using an option pricing model based on a number of assumptions, including certain unobservable assumptions discounted at an estimated market interest rate. The fair value of the liability is updated each reporting period, with changes in fair value reported within “Other expenses, net.” The fair value of the contingent consideration liability was $2.9 million as of March 31, 2025.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 xml:space="preserve">Guarantees and Indemnifications </w:t>
      </w:r>
      <w:r>
        <w:rPr>
          <w:color w:val="000000"/>
        </w:rPr>
        <w:t xml:space="preserve">— </w:t>
      </w:r>
      <w:r>
        <w:rPr>
          <w:rFonts w:ascii="Times New Roman;sans-serif" w:hAnsi="Times New Roman;sans-serif"/>
          <w:b w:val="false"/>
          <w:color w:val="000000"/>
          <w:sz w:val="18"/>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March 31, 2025,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and each reporting period,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March 31, 2025, the unfunded maximum potential amount of undiscounted future payments the Company could be required to make under these guarantees totaled $60.3 million. Additionally, in accordance with the guarantee contracts, the Company is required to fund segregated cash balances to provide protection in the event the Company is not able to meet its contractual commitments. As of March 31, 2025, $39.8 million has been segregated and recognized within restricted cash in the unaudited condensed consolidated balance sheet in accordance with these contractual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NOTE 9 - TRANSACTIONS WITH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the Company may enter into transactions with directors, principal officers, their immediate families, and affiliated companies in which they are principal shareholders (commonly referred to as related parties). In addition, the Company has transactions with the securitization vehicles and other Financing Vehicles, which are also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the total fee receivables from related parties are $90.7 million, which consist of $65.2 million from securitization vehicles and $25.6 million from other Financing Vehicles. As of December 31, 2024, the total fee receivables from related parties are $99.4 million, which consists of $79.0 million from securitization vehicles and $20.4 million from other Financing Vehicles.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and December 31, 2024, prepaid expenses and other assets include amounts due from related parties of $15.7 million and $15.2 million, respectively, all of which were attributable to Financing Vehicles.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2025, the total revenue from related parties is $167.9 million, which consists of $159.1 million from securitization vehicles and $8.8 million from other Financing Vehicles. For the three months ended March 31, 2024, the total revenue from related parties is $178.5 million, which consists of $162.6 million from securitization vehicles and $15.9 million from other Financing Vehicles.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During the three months ended March 31, 2025, the Company purchased approximately $3.8 million of loan principal from the Financing Vehicles and included a loss of approximately $3.5 million in general and administrative expenses with respect to these loans. During the three months ended March 31, 2024, the Company purchased approximately $5.0 million of loan principal from the Financing Vehicles and included a loss of approximately $5.0 million</w:t>
      </w:r>
      <w:r>
        <w:rPr>
          <w:color w:val="000000"/>
        </w:rPr>
        <w:t xml:space="preserve"> </w:t>
      </w:r>
      <w:r>
        <w:rPr>
          <w:rFonts w:ascii="Times New Roman;sans-serif" w:hAnsi="Times New Roman;sans-serif"/>
          <w:b w:val="false"/>
          <w:color w:val="000000"/>
          <w:sz w:val="18"/>
        </w:rPr>
        <w:t xml:space="preserve">in general and administrative expenses with respect to these loans.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NOTE 10 - FAIR VALUE MEASUREMENT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models that use, as inputs, observable market-based parameters to the greatest extent possible.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Financial Assets and Liabilities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information about the Company’s assets and liabilities that are measured at fair value on a recurring basis as of March 31, 2025 and December 31, 2024, and indicates the fair value hierarchy of the valuation inputs the Company utilized to determine such fair value (in thousands):</w:t>
      </w:r>
    </w:p>
    <w:p>
      <w:pPr>
        <w:pStyle w:val="TextBody"/>
        <w:bidi w:val="0"/>
        <w:spacing w:before="0" w:after="0"/>
        <w:jc w:val="both"/>
        <w:rPr/>
      </w:pPr>
      <w:r>
        <w:rPr/>
      </w:r>
    </w:p>
    <w:tbl>
      <w:tblPr>
        <w:tblW w:w="9719" w:type="dxa"/>
        <w:jc w:val="left"/>
        <w:tblInd w:w="0" w:type="dxa"/>
        <w:tblLayout w:type="fixed"/>
        <w:tblCellMar>
          <w:top w:w="28" w:type="dxa"/>
          <w:left w:w="28" w:type="dxa"/>
          <w:bottom w:w="28" w:type="dxa"/>
          <w:right w:w="28" w:type="dxa"/>
        </w:tblCellMar>
      </w:tblPr>
      <w:tblGrid>
        <w:gridCol w:w="1698"/>
        <w:gridCol w:w="1496"/>
        <w:gridCol w:w="1515"/>
        <w:gridCol w:w="196"/>
        <w:gridCol w:w="55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149" w:type="dxa"/>
            <w:gridSpan w:val="18"/>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(Certificates and Other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liability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824" w:type="dxa"/>
        <w:jc w:val="left"/>
        <w:tblInd w:w="0" w:type="dxa"/>
        <w:tblLayout w:type="fixed"/>
        <w:tblCellMar>
          <w:top w:w="28" w:type="dxa"/>
          <w:left w:w="28" w:type="dxa"/>
          <w:bottom w:w="28" w:type="dxa"/>
          <w:right w:w="28" w:type="dxa"/>
        </w:tblCellMar>
      </w:tblPr>
      <w:tblGrid>
        <w:gridCol w:w="1790"/>
        <w:gridCol w:w="1577"/>
        <w:gridCol w:w="1597"/>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(Notes) (2)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(Certificates and Other loans) (2)</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liability (1)</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Included in “Accrued expenses and other liabilities” in the unaudited condensed consolidated balance sheets. See Note 8 for additional information.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Accrued interest receivable of $14.3 million, previously reported within “Fee and other receivables” as of December 31, 2024, has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Assets and Liabilities Measured at Fair Value on a Recurring Basis (Level 1 and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Warrant liability (Level 1 and 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used the value of the Public Warrants (Level 1) as an approximation of the value of the Private Warrants as they are substantially similar to the Public Warrants, but not directly traded or quoted on an active market.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summarize the Warrant liability activity for the three months ended March 31, 2025 and 2024 (in thousands):</w:t>
      </w:r>
    </w:p>
    <w:p>
      <w:pPr>
        <w:pStyle w:val="TextBody"/>
        <w:bidi w:val="0"/>
        <w:spacing w:before="0" w:after="0"/>
        <w:jc w:val="both"/>
        <w:rPr/>
      </w:pPr>
      <w:r>
        <w:rPr/>
      </w:r>
    </w:p>
    <w:tbl>
      <w:tblPr>
        <w:tblW w:w="5639" w:type="dxa"/>
        <w:jc w:val="left"/>
        <w:tblInd w:w="0" w:type="dxa"/>
        <w:tblLayout w:type="fixed"/>
        <w:tblCellMar>
          <w:top w:w="28" w:type="dxa"/>
          <w:left w:w="28" w:type="dxa"/>
          <w:bottom w:w="28" w:type="dxa"/>
          <w:right w:w="28" w:type="dxa"/>
        </w:tblCellMar>
      </w:tblPr>
      <w:tblGrid>
        <w:gridCol w:w="945"/>
        <w:gridCol w:w="831"/>
        <w:gridCol w:w="833"/>
        <w:gridCol w:w="655"/>
        <w:gridCol w:w="1860"/>
        <w:gridCol w:w="5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2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2025</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9" w:type="dxa"/>
        <w:jc w:val="left"/>
        <w:tblInd w:w="0" w:type="dxa"/>
        <w:tblLayout w:type="fixed"/>
        <w:tblCellMar>
          <w:top w:w="28" w:type="dxa"/>
          <w:left w:w="28" w:type="dxa"/>
          <w:bottom w:w="28" w:type="dxa"/>
          <w:right w:w="28" w:type="dxa"/>
        </w:tblCellMar>
      </w:tblPr>
      <w:tblGrid>
        <w:gridCol w:w="945"/>
        <w:gridCol w:w="831"/>
        <w:gridCol w:w="833"/>
        <w:gridCol w:w="655"/>
        <w:gridCol w:w="1860"/>
        <w:gridCol w:w="51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2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Assets and Liabilities Measured at Fair Value on a Recurring Basis (Level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Investments in Loans and Securities Available for Sale (Level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2025, the Company held investments in loans and securities classified as available for sale. These assets are measured at fair value using a discounted cash flow model, and presented within investments in loans and securities on the unaudited condensed consolidated balance sheets. Changes in the fair value, other than declines in fair value due to credit, are reflected in other comprehensive income (loss) on the unaudited condensed consolidated statements of comprehensive loss. Declines in fair value due to credit are reflected in other expenses, net on the unaudited condensed consolidated statements of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summarize the activity related to the fair value of the investments in loans and securities available for sale (Level 3 only) for the three months ended March 31, 2025 and 2024 (in thousands):</w:t>
      </w:r>
    </w:p>
    <w:p>
      <w:pPr>
        <w:pStyle w:val="TextBody"/>
        <w:bidi w:val="0"/>
        <w:spacing w:before="0" w:after="0"/>
        <w:jc w:val="both"/>
        <w:rPr/>
      </w:pPr>
      <w:r>
        <w:rPr/>
      </w:r>
    </w:p>
    <w:tbl>
      <w:tblPr>
        <w:tblW w:w="7996" w:type="dxa"/>
        <w:jc w:val="left"/>
        <w:tblInd w:w="0" w:type="dxa"/>
        <w:tblLayout w:type="fixed"/>
        <w:tblCellMar>
          <w:top w:w="28" w:type="dxa"/>
          <w:left w:w="28" w:type="dxa"/>
          <w:bottom w:w="28" w:type="dxa"/>
          <w:right w:w="28" w:type="dxa"/>
        </w:tblCellMar>
      </w:tblPr>
      <w:tblGrid>
        <w:gridCol w:w="1339"/>
        <w:gridCol w:w="1180"/>
        <w:gridCol w:w="1185"/>
        <w:gridCol w:w="109"/>
        <w:gridCol w:w="109"/>
        <w:gridCol w:w="442"/>
        <w:gridCol w:w="442"/>
        <w:gridCol w:w="796"/>
        <w:gridCol w:w="442"/>
        <w:gridCol w:w="456"/>
        <w:gridCol w:w="109"/>
        <w:gridCol w:w="109"/>
        <w:gridCol w:w="109"/>
        <w:gridCol w:w="307"/>
        <w:gridCol w:w="429"/>
        <w:gridCol w:w="433"/>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96"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626,369</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from 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10,469 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66,719 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259,876 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(47,310)</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(23,014)</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Investments in loans and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accrued interest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(15,946)</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(21,727)</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Credit-related impairment loss, net of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(34,207)</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(26,852)</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825,121</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Significant unobservable inputs used for our Level 3 fair value measurement of the loans and securities and credit losses are the discount rate, loss rate, and prepayment rate and consideration of any optional redemption features in our investment securities. Significant increases or decreases in any of the inputs in isolation could result in a significantly lower or higher fair value measurement.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tables present quantitative information about the significant unobservable inputs used for our Level 3 fair value measurement of the loans and securities as of March 31, 2025 and December 31,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92"/>
        <w:gridCol w:w="519"/>
        <w:gridCol w:w="522"/>
        <w:gridCol w:w="109"/>
        <w:gridCol w:w="109"/>
        <w:gridCol w:w="109"/>
        <w:gridCol w:w="200"/>
        <w:gridCol w:w="200"/>
        <w:gridCol w:w="471"/>
        <w:gridCol w:w="109"/>
        <w:gridCol w:w="109"/>
        <w:gridCol w:w="109"/>
        <w:gridCol w:w="233"/>
        <w:gridCol w:w="233"/>
        <w:gridCol w:w="487"/>
        <w:gridCol w:w="109"/>
        <w:gridCol w:w="109"/>
        <w:gridCol w:w="109"/>
        <w:gridCol w:w="339"/>
        <w:gridCol w:w="332"/>
        <w:gridCol w:w="785"/>
        <w:gridCol w:w="109"/>
        <w:gridCol w:w="109"/>
        <w:gridCol w:w="109"/>
        <w:gridCol w:w="200"/>
        <w:gridCol w:w="200"/>
        <w:gridCol w:w="471"/>
        <w:gridCol w:w="109"/>
        <w:gridCol w:w="109"/>
        <w:gridCol w:w="109"/>
        <w:gridCol w:w="233"/>
        <w:gridCol w:w="233"/>
        <w:gridCol w:w="487"/>
        <w:gridCol w:w="109"/>
        <w:gridCol w:w="109"/>
        <w:gridCol w:w="109"/>
        <w:gridCol w:w="322"/>
        <w:gridCol w:w="313"/>
        <w:gridCol w:w="871"/>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Financial Assets and Liabilities Not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believes that the carrying amount of cash, cash equivalents and restricted cash, fees and other receivables, accounts payables and other current liabilities approximate their fair value due to the short-term maturities of these instruments.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below tables contain information about assets that are not measured at fair value on a recurring basis as of March 31, 2025 and December 31, 2024 (in thousands): </w:t>
      </w:r>
    </w:p>
    <w:tbl>
      <w:tblPr>
        <w:tblW w:w="9297" w:type="dxa"/>
        <w:jc w:val="left"/>
        <w:tblInd w:w="0" w:type="dxa"/>
        <w:tblLayout w:type="fixed"/>
        <w:tblCellMar>
          <w:top w:w="28" w:type="dxa"/>
          <w:left w:w="28" w:type="dxa"/>
          <w:bottom w:w="28" w:type="dxa"/>
          <w:right w:w="28" w:type="dxa"/>
        </w:tblCellMar>
      </w:tblPr>
      <w:tblGrid>
        <w:gridCol w:w="1108"/>
        <w:gridCol w:w="977"/>
        <w:gridCol w:w="990"/>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210"/>
        <w:gridCol w:w="552"/>
        <w:gridCol w:w="139"/>
        <w:gridCol w:w="109"/>
        <w:gridCol w:w="109"/>
        <w:gridCol w:w="109"/>
        <w:gridCol w:w="196"/>
        <w:gridCol w:w="73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360,522</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Exchangeable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Secured borrowing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37" w:type="dxa"/>
        <w:jc w:val="left"/>
        <w:tblInd w:w="0" w:type="dxa"/>
        <w:tblLayout w:type="fixed"/>
        <w:tblCellMar>
          <w:top w:w="28" w:type="dxa"/>
          <w:left w:w="28" w:type="dxa"/>
          <w:bottom w:w="28" w:type="dxa"/>
          <w:right w:w="28" w:type="dxa"/>
        </w:tblCellMar>
      </w:tblPr>
      <w:tblGrid>
        <w:gridCol w:w="1111"/>
        <w:gridCol w:w="977"/>
        <w:gridCol w:w="987"/>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196"/>
        <w:gridCol w:w="736"/>
        <w:gridCol w:w="109"/>
        <w:gridCol w:w="109"/>
        <w:gridCol w:w="109"/>
        <w:gridCol w:w="109"/>
        <w:gridCol w:w="196"/>
        <w:gridCol w:w="73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 receivables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Exchangeable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Secured borrowing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Accrued interest receivable of $14.3 million, previously reported within “Fee and other receivables” as of December 31, 2024, has been reclassified to “Investment in loans and securities” to conform to the current period’s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NOTE 11 - ORDINARY SHARES AND ORDINARY SHARE WARRANTS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839,999,998 shares with no par value are authorized, of which, 6,666,666 shares are designated as Preferred Shares, 666,666,666 shares are designated as Class A Ordinary Shares, and 166,666,666 shares are designated as Class B Ordinary Shares. As of March 31, 2025, the Company had 5,000,000 Preferred Shares outstanding, 62,778,642 Class A Ordinary Shares outstanding and 12,652,310 Class B Ordinary Shares outstanding.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rights of the holders of each class of Ordinary Shares are identical, except with respect to voting. Each Class A Ordinary Share is entitled to one vote per share. Each Class B Ordinary Share is entitled to 10 votes per share. Class B Ordinary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may be converted at any time at the option of the stockholder and automatically convert upon sale or transfer to a Class A Ordinary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and December 31, 2024, the Company had reserved ordinary shares for future issuance as follows: </w:t>
      </w:r>
    </w:p>
    <w:p>
      <w:pPr>
        <w:pStyle w:val="TextBody"/>
        <w:bidi w:val="0"/>
        <w:spacing w:before="0" w:after="0"/>
        <w:jc w:val="both"/>
        <w:rPr/>
      </w:pPr>
      <w:r>
        <w:rPr/>
      </w:r>
    </w:p>
    <w:tbl>
      <w:tblPr>
        <w:tblW w:w="7503" w:type="dxa"/>
        <w:jc w:val="left"/>
        <w:tblInd w:w="0" w:type="dxa"/>
        <w:tblLayout w:type="fixed"/>
        <w:tblCellMar>
          <w:top w:w="28" w:type="dxa"/>
          <w:left w:w="28" w:type="dxa"/>
          <w:bottom w:w="28" w:type="dxa"/>
          <w:right w:w="28" w:type="dxa"/>
        </w:tblCellMar>
      </w:tblPr>
      <w:tblGrid>
        <w:gridCol w:w="1387"/>
        <w:gridCol w:w="1211"/>
        <w:gridCol w:w="1227"/>
        <w:gridCol w:w="109"/>
        <w:gridCol w:w="109"/>
        <w:gridCol w:w="109"/>
        <w:gridCol w:w="503"/>
        <w:gridCol w:w="458"/>
        <w:gridCol w:w="431"/>
        <w:gridCol w:w="109"/>
        <w:gridCol w:w="109"/>
        <w:gridCol w:w="109"/>
        <w:gridCol w:w="507"/>
        <w:gridCol w:w="465"/>
        <w:gridCol w:w="660"/>
      </w:tblGrid>
      <w:tr>
        <w:trPr/>
        <w:tc>
          <w:tcPr>
            <w:tcW w:w="138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959" w:type="dxa"/>
            <w:gridSpan w:val="6"/>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4,042,901</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19,923,756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19,948,408</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3,009,918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2,372,858</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11,434,704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available for future grant of equity awards(1)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9,917,226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8,121,438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reserved for issuance under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832,713 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ordinary share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57,223,736 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54,762,940 </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Reflects the application of the automatic increase of shares reserved under the Company's 2022 Share Incentive Plan (the "2022 Plan") pursuant to the terms of the 2022 Plan. For more information on the automatic increases see our 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Ordinary Share Warrants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accounted for the ordinary share warrants as equity-classified warrants as they met the requirements for equity classification under ASC 815, including whether the ordinary share warrants are indexed to the Company’s own ordinary shares.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unaudited condensed consolidated statements of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there were 433,942 warrants expiring in March 2031 with an exercise price of $0.00006 per share, 192,900 warrants expiring in June 2030 with an exercise price of $0.0006 per share, 220,000 warrants expiring in March 2032 with an exercise price of $0.12 per share, 523,854 warrants expiring in September 2034 with an exercise price of $0.01 per share, and 1,229,166 warrants expiring in June 2027 (consisting of the Public Warrants) with an exercise price of $138 per share to purchase one Class A Ordinary Share.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Ordinary Shares Purchase Agreement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three months ended March 31, 2024, 298,057 shares were issued under the Equity Financing Purchase Agreement for net proceeds of $5.2 million, and related fee of $0.2 million was expensed. On September 25, 2024, the Company terminated the Equity Financing Purchase Agreement.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18"/>
        </w:rPr>
      </w:pPr>
      <w:r>
        <w:rPr>
          <w:rFonts w:ascii="Times New Roman;sans-serif" w:hAnsi="Times New Roman;sans-serif"/>
          <w:b/>
          <w:color w:val="000000"/>
          <w:sz w:val="18"/>
        </w:rPr>
        <w:t>Ordinary Share Offering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 March 13, 2024, the Company priced an offering of 7,500,000 of its Class A Ordinary Shares, no par value, pursuant to an underwriting agreement (the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NOTE 12 - SHARE BASED COMPENSATION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Share Options</w:t>
      </w:r>
      <w:r>
        <w:rPr>
          <w:color w:val="000000"/>
        </w:rPr>
        <w:t>—</w:t>
      </w:r>
      <w:r>
        <w:rPr>
          <w:rFonts w:ascii="Times New Roman;sans-serif" w:hAnsi="Times New Roman;sans-serif"/>
          <w:b w:val="false"/>
          <w:color w:val="000000"/>
          <w:sz w:val="18"/>
        </w:rPr>
        <w:t>Granted share options expire at the earlier of termination of employment or ten years from the date of grant. Share options generally vest over four years of 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summarized the Company’s share option activity during the three months ended March 31, 2025: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3"/>
        <w:gridCol w:w="735"/>
        <w:gridCol w:w="741"/>
        <w:gridCol w:w="534"/>
        <w:gridCol w:w="476"/>
        <w:gridCol w:w="453"/>
        <w:gridCol w:w="109"/>
        <w:gridCol w:w="109"/>
        <w:gridCol w:w="109"/>
        <w:gridCol w:w="603"/>
        <w:gridCol w:w="1156"/>
        <w:gridCol w:w="336"/>
        <w:gridCol w:w="109"/>
        <w:gridCol w:w="109"/>
        <w:gridCol w:w="109"/>
        <w:gridCol w:w="553"/>
        <w:gridCol w:w="553"/>
        <w:gridCol w:w="555"/>
        <w:gridCol w:w="109"/>
        <w:gridCol w:w="109"/>
        <w:gridCol w:w="109"/>
        <w:gridCol w:w="318"/>
        <w:gridCol w:w="1050"/>
        <w:gridCol w:w="258"/>
      </w:tblGrid>
      <w:tr>
        <w:trPr/>
        <w:tc>
          <w:tcPr>
            <w:tcW w:w="9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 (000’s)</w:t>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2024</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4,042,901 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(376,564)</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(56,842)</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2025</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3,611,995 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March 31, 2025</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2,767,223 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15,853 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intrinsic value of options exercised was approximately $1.7 million and $0.7 million for the three months ended March 31, 2025 and 2024, respectively. The total grant date fair value of share options vested for the three months ended March 31, 2025 and 2024, was $1.5 million and $7.1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assumptions used to estimate the fair value of share options granted for the three months ended March 31, 2025 were as follows: </w:t>
      </w:r>
    </w:p>
    <w:p>
      <w:pPr>
        <w:pStyle w:val="TextBody"/>
        <w:bidi w:val="0"/>
        <w:spacing w:before="0" w:after="0"/>
        <w:jc w:val="both"/>
        <w:rPr/>
      </w:pPr>
      <w:r>
        <w:rPr/>
      </w:r>
    </w:p>
    <w:tbl>
      <w:tblPr>
        <w:tblW w:w="3356" w:type="dxa"/>
        <w:jc w:val="left"/>
        <w:tblInd w:w="0" w:type="dxa"/>
        <w:tblLayout w:type="fixed"/>
        <w:tblCellMar>
          <w:top w:w="28" w:type="dxa"/>
          <w:left w:w="28" w:type="dxa"/>
          <w:bottom w:w="28" w:type="dxa"/>
          <w:right w:w="28" w:type="dxa"/>
        </w:tblCellMar>
      </w:tblPr>
      <w:tblGrid>
        <w:gridCol w:w="667"/>
        <w:gridCol w:w="588"/>
        <w:gridCol w:w="590"/>
        <w:gridCol w:w="109"/>
        <w:gridCol w:w="109"/>
        <w:gridCol w:w="109"/>
        <w:gridCol w:w="109"/>
        <w:gridCol w:w="278"/>
        <w:gridCol w:w="278"/>
        <w:gridCol w:w="256"/>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free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unrecognized compensation expense related to unvested share options was approximately $14.5 million, which is expected to be recognized over a remaining weighted-average period of 1.1 years.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Restricted Stock Units (RSUs)</w:t>
      </w:r>
      <w:r>
        <w:rPr>
          <w:color w:val="000000"/>
        </w:rPr>
        <w:t>—</w:t>
      </w:r>
      <w:r>
        <w:rPr>
          <w:rFonts w:ascii="Times New Roman;sans-serif" w:hAnsi="Times New Roman;sans-serif"/>
          <w:b w:val="false"/>
          <w:color w:val="000000"/>
          <w:sz w:val="18"/>
        </w:rPr>
        <w:t>RSUs generally vest over two years of the employment commencement date with 50% vesting on the twelve-month anniversary of the employment commencement date, and the remaining on a pro-rata basis each quarter over the remaining twelve months. Unvested RSUs are forfeited at termination of employment. Any RSUs, which are forfeited become available for future grants.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summarized the Company’s RSU activity during the three months ended March 31, 2025: </w:t>
      </w:r>
    </w:p>
    <w:p>
      <w:pPr>
        <w:pStyle w:val="TextBody"/>
        <w:bidi w:val="0"/>
        <w:spacing w:before="0" w:after="0"/>
        <w:jc w:val="left"/>
        <w:rPr/>
      </w:pPr>
      <w:r>
        <w:rPr/>
      </w:r>
    </w:p>
    <w:tbl>
      <w:tblPr>
        <w:tblW w:w="8291" w:type="dxa"/>
        <w:jc w:val="left"/>
        <w:tblInd w:w="0" w:type="dxa"/>
        <w:tblLayout w:type="fixed"/>
        <w:tblCellMar>
          <w:top w:w="28" w:type="dxa"/>
          <w:left w:w="28" w:type="dxa"/>
          <w:bottom w:w="28" w:type="dxa"/>
          <w:right w:w="28" w:type="dxa"/>
        </w:tblCellMar>
      </w:tblPr>
      <w:tblGrid>
        <w:gridCol w:w="868"/>
        <w:gridCol w:w="765"/>
        <w:gridCol w:w="767"/>
        <w:gridCol w:w="479"/>
        <w:gridCol w:w="479"/>
        <w:gridCol w:w="481"/>
        <w:gridCol w:w="109"/>
        <w:gridCol w:w="109"/>
        <w:gridCol w:w="109"/>
        <w:gridCol w:w="987"/>
        <w:gridCol w:w="2351"/>
        <w:gridCol w:w="787"/>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 Per Share</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December 31, 2024</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3,009,918 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2,030,880 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(948,773)</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(132,669)</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March 31, 2025</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3,959,356 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br/>
        <w:t xml:space="preserve">As of March 31, 2025, unrecognized compensation expense related to RSUs was approximately $38.3 million, which is expected to be recognized over a remaining weighted-average period of 0.9 years.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Options to Restricted Shares</w:t>
      </w:r>
      <w:r>
        <w:rPr>
          <w:color w:val="000000"/>
        </w:rPr>
        <w:t>—</w:t>
      </w:r>
      <w:r>
        <w:rPr>
          <w:rFonts w:ascii="Times New Roman;sans-serif" w:hAnsi="Times New Roman;sans-serif"/>
          <w:b w:val="false"/>
          <w:color w:val="000000"/>
          <w:sz w:val="18"/>
        </w:rPr>
        <w:t xml:space="preserve">Options to restricted shares were granted to certain employees and directors during 2021. See Note 16 to the consolidated financial statements included in the Annual Report on Form 10-K 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summarized the Company’s options to restricted shares activity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03"/>
        <w:gridCol w:w="734"/>
        <w:gridCol w:w="741"/>
        <w:gridCol w:w="534"/>
        <w:gridCol w:w="502"/>
        <w:gridCol w:w="452"/>
        <w:gridCol w:w="109"/>
        <w:gridCol w:w="109"/>
        <w:gridCol w:w="109"/>
        <w:gridCol w:w="530"/>
        <w:gridCol w:w="1265"/>
        <w:gridCol w:w="298"/>
        <w:gridCol w:w="109"/>
        <w:gridCol w:w="109"/>
        <w:gridCol w:w="109"/>
        <w:gridCol w:w="553"/>
        <w:gridCol w:w="553"/>
        <w:gridCol w:w="555"/>
        <w:gridCol w:w="109"/>
        <w:gridCol w:w="109"/>
        <w:gridCol w:w="109"/>
        <w:gridCol w:w="413"/>
        <w:gridCol w:w="857"/>
        <w:gridCol w:w="334"/>
      </w:tblGrid>
      <w:tr>
        <w:trPr/>
        <w:tc>
          <w:tcPr>
            <w:tcW w:w="9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 (000’s)</w:t>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2024</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19,948,408 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(4,707)</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(19,945)</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2025</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19,923,756 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March 31, 2025</w:t>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16,557,180 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At March 31, 2025, unrecognized compensation expense related to options to restricted shares was approximately $9.3 million, which is expected to be recognized over a remaining weighted-average period of 1.3 years.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Employee Stock Purchase Plan</w:t>
      </w:r>
      <w:r>
        <w:rPr>
          <w:color w:val="000000"/>
        </w:rPr>
        <w:t>—</w:t>
      </w:r>
      <w:r>
        <w:rPr>
          <w:rFonts w:ascii="Times New Roman;sans-serif" w:hAnsi="Times New Roman;sans-serif"/>
          <w:b w:val="false"/>
          <w:color w:val="000000"/>
          <w:sz w:val="18"/>
        </w:rPr>
        <w:t>The Employee Stock Purchase Plan (“ESPP”) allows eligible employees to purchase shares of our Class A Ordinary Shares at a discounted price, normally through payroll deductions, subject to the terms of the ESPP and applicable law. During the three months ended March 31, 2025, 55,876</w:t>
      </w:r>
      <w:r>
        <w:rPr>
          <w:color w:val="000000"/>
        </w:rPr>
        <w:t xml:space="preserve"> </w:t>
      </w:r>
      <w:r>
        <w:rPr>
          <w:rFonts w:ascii="Times New Roman;sans-serif" w:hAnsi="Times New Roman;sans-serif"/>
          <w:b w:val="false"/>
          <w:color w:val="000000"/>
          <w:sz w:val="18"/>
        </w:rPr>
        <w:t xml:space="preserve">shares were issued under the ESPP. As of March 31, 2025, 776,837 shares of Class A Ordinary Shares were reserved for issuance under the ESPP. Compensation expense related to the ESPP was $0.1 million for the three months ended March 31,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Share-Based Compensation Expense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presents the components and classification of share-based compensation for the three months ended March 31, 2025 and 2024 (in thousands): </w:t>
      </w:r>
    </w:p>
    <w:p>
      <w:pPr>
        <w:pStyle w:val="TextBody"/>
        <w:bidi w:val="0"/>
        <w:spacing w:before="0" w:after="0"/>
        <w:jc w:val="both"/>
        <w:rPr/>
      </w:pPr>
      <w:r>
        <w:rPr/>
      </w:r>
    </w:p>
    <w:tbl>
      <w:tblPr>
        <w:tblW w:w="7283" w:type="dxa"/>
        <w:jc w:val="left"/>
        <w:tblInd w:w="0" w:type="dxa"/>
        <w:tblLayout w:type="fixed"/>
        <w:tblCellMar>
          <w:top w:w="28" w:type="dxa"/>
          <w:left w:w="28" w:type="dxa"/>
          <w:bottom w:w="28" w:type="dxa"/>
          <w:right w:w="28" w:type="dxa"/>
        </w:tblCellMar>
      </w:tblPr>
      <w:tblGrid>
        <w:gridCol w:w="1147"/>
        <w:gridCol w:w="1007"/>
        <w:gridCol w:w="1010"/>
        <w:gridCol w:w="109"/>
        <w:gridCol w:w="109"/>
        <w:gridCol w:w="240"/>
        <w:gridCol w:w="240"/>
        <w:gridCol w:w="432"/>
        <w:gridCol w:w="1426"/>
        <w:gridCol w:w="240"/>
        <w:gridCol w:w="109"/>
        <w:gridCol w:w="109"/>
        <w:gridCol w:w="109"/>
        <w:gridCol w:w="196"/>
        <w:gridCol w:w="64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NOTE 13 - INCOME TAXES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Corporate Income Tax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Ordinary taxable income in Israel is subject to a corporate tax rate of 23%. However, the Company has received an approval from the Israeli Tax authorities for Preferred Technological Enterprise (“PTE”) status and received approval on November 18, 2021. The Company is eligible for PTE status which is implemented commencing 2020. Income from a PTE is subject to 12% tax rate. The Company is currently in the process of obtaining a renewal of its PTE status.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18"/>
        </w:rPr>
        <w:t>Foreign Exchange Regulations in Israel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Under the Foreign Exchange Regulations, the Company calculates its tax liability in U.S. Dollars according to certain orders. The tax liability, as calculated in U.S. Dollars is translated into NIS according to the exchange rate as of December 31st of each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Non-Israeli subsidiaries are taxed according to the tax laws in their respective countries of residence.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effective tax rates for the three months ended March 31, 2025 and 2024 are as follows (in thousands):</w:t>
      </w:r>
    </w:p>
    <w:p>
      <w:pPr>
        <w:pStyle w:val="TextBody"/>
        <w:bidi w:val="0"/>
        <w:spacing w:before="0" w:after="0"/>
        <w:jc w:val="both"/>
        <w:rPr/>
      </w:pPr>
      <w:r>
        <w:rPr/>
      </w:r>
    </w:p>
    <w:tbl>
      <w:tblPr>
        <w:tblW w:w="6353" w:type="dxa"/>
        <w:jc w:val="left"/>
        <w:tblInd w:w="0" w:type="dxa"/>
        <w:tblLayout w:type="fixed"/>
        <w:tblCellMar>
          <w:top w:w="28" w:type="dxa"/>
          <w:left w:w="28" w:type="dxa"/>
          <w:bottom w:w="28" w:type="dxa"/>
          <w:right w:w="28" w:type="dxa"/>
        </w:tblCellMar>
      </w:tblPr>
      <w:tblGrid>
        <w:gridCol w:w="781"/>
        <w:gridCol w:w="688"/>
        <w:gridCol w:w="691"/>
        <w:gridCol w:w="109"/>
        <w:gridCol w:w="109"/>
        <w:gridCol w:w="302"/>
        <w:gridCol w:w="302"/>
        <w:gridCol w:w="544"/>
        <w:gridCol w:w="1127"/>
        <w:gridCol w:w="302"/>
        <w:gridCol w:w="109"/>
        <w:gridCol w:w="109"/>
        <w:gridCol w:w="109"/>
        <w:gridCol w:w="196"/>
        <w:gridCol w:w="721"/>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tax rate is affected by recurring items, such as tax rates in foreign jurisdictions and the relative amounts of income the Company earns in those jurisdictions. The change in the effective tax rate was primarily due to discrete tax expenses related to a change in uncertain tax positions in the three months ended March 31, 2025. The difference between the effective tax rate and the statuary tax rate mainly related to valuation allowance in Israel, tax expenses in the United States, and a change in uncertain tax positions.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provides a valuation allowance to offset certain deferred tax assets due to the uncertainty of realizing future tax benefits from its net operating loss carryforwards and other deferred tax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NOTE 14 - EARNINGS (LOSS) PER SHARE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tables set forth the calculation of basic and diluted earnings (loss) per share attributable to ordinary shareholders for the three months ended March 31, 2025 and 2024 (in thousands, except share and per share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72"/>
        <w:gridCol w:w="1803"/>
        <w:gridCol w:w="1842"/>
        <w:gridCol w:w="109"/>
        <w:gridCol w:w="109"/>
        <w:gridCol w:w="109"/>
        <w:gridCol w:w="109"/>
        <w:gridCol w:w="2815"/>
        <w:gridCol w:w="109"/>
        <w:gridCol w:w="249"/>
        <w:gridCol w:w="712"/>
        <w:gridCol w:w="167"/>
      </w:tblGrid>
      <w:tr>
        <w:trPr/>
        <w:tc>
          <w:tcPr>
            <w:tcW w:w="207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 2025</w:t>
            </w:r>
          </w:p>
        </w:tc>
        <w:tc>
          <w:tcPr>
            <w:tcW w:w="1237" w:type="dxa"/>
            <w:gridSpan w:val="4"/>
            <w:tcBorders/>
          </w:tcPr>
          <w:p>
            <w:pPr>
              <w:pStyle w:val="TableContents"/>
              <w:bidi w:val="0"/>
              <w:spacing w:before="0" w:after="283"/>
              <w:jc w:val="left"/>
              <w:rPr>
                <w:sz w:val="4"/>
                <w:szCs w:val="4"/>
              </w:rPr>
            </w:pPr>
            <w:r>
              <w:rPr>
                <w:sz w:val="4"/>
                <w:szCs w:val="4"/>
              </w:rPr>
            </w:r>
          </w:p>
        </w:tc>
      </w:tr>
      <w:tr>
        <w:trPr/>
        <w:tc>
          <w:tcPr>
            <w:tcW w:w="5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Less: Undistributed earnings allocated to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income attributable to Pagaya Technologies Ltd. ordinary shareholders,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Weighted average shares used for earnings per ordinary share,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75,765,080</w:t>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Earnings per share attributable to ordinary shareholders,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income attributable to Pagaya Technologies Ltd. ordinary shareholders,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Shares used in computation of 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75,765,080 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Ordinary share warrants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784,762</w:t>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Unvested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473,300</w:t>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Ordinary shares upon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20,322</w:t>
            </w:r>
          </w:p>
        </w:tc>
      </w:tr>
      <w:tr>
        <w:trPr/>
        <w:tc>
          <w:tcPr>
            <w:tcW w:w="5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Weighted average shares used for earnings per ordinary share,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77,043,464 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Earnings per share attributable to ordinary shareholders,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34"/>
        <w:gridCol w:w="1871"/>
        <w:gridCol w:w="1888"/>
        <w:gridCol w:w="109"/>
        <w:gridCol w:w="109"/>
        <w:gridCol w:w="109"/>
        <w:gridCol w:w="109"/>
        <w:gridCol w:w="2702"/>
        <w:gridCol w:w="109"/>
        <w:gridCol w:w="196"/>
        <w:gridCol w:w="713"/>
        <w:gridCol w:w="156"/>
      </w:tblGrid>
      <w:tr>
        <w:trPr/>
        <w:tc>
          <w:tcPr>
            <w:tcW w:w="213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 2024</w:t>
            </w:r>
          </w:p>
        </w:tc>
        <w:tc>
          <w:tcPr>
            <w:tcW w:w="1174" w:type="dxa"/>
            <w:gridSpan w:val="4"/>
            <w:tcBorders/>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 attributable to Pagaya Technologies Ltd.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Weighted average shares used for net loss per ordinary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w:t>
            </w:r>
          </w:p>
        </w:tc>
      </w:tr>
      <w:tr>
        <w:trPr/>
        <w:tc>
          <w:tcPr>
            <w:tcW w:w="5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 per share attributable to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EPS for Class B ordinary shares is not presented separately, as under the two-class method, the EPS for Class A and Class B shares are the same.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potentially dilutive outstanding securities as of March 31, 2025 and 2024 were excluded from the computation of diluted earnings (loss) per share because their effect would have been anti-dilutive for the periods: </w:t>
      </w:r>
    </w:p>
    <w:p>
      <w:pPr>
        <w:pStyle w:val="TextBody"/>
        <w:bidi w:val="0"/>
        <w:spacing w:before="0" w:after="0"/>
        <w:jc w:val="left"/>
        <w:rPr/>
      </w:pPr>
      <w:r>
        <w:rPr/>
      </w:r>
    </w:p>
    <w:tbl>
      <w:tblPr>
        <w:tblW w:w="6315" w:type="dxa"/>
        <w:jc w:val="left"/>
        <w:tblInd w:w="0" w:type="dxa"/>
        <w:tblLayout w:type="fixed"/>
        <w:tblCellMar>
          <w:top w:w="28" w:type="dxa"/>
          <w:left w:w="28" w:type="dxa"/>
          <w:bottom w:w="28" w:type="dxa"/>
          <w:right w:w="28" w:type="dxa"/>
        </w:tblCellMar>
      </w:tblPr>
      <w:tblGrid>
        <w:gridCol w:w="1147"/>
        <w:gridCol w:w="1002"/>
        <w:gridCol w:w="1015"/>
        <w:gridCol w:w="109"/>
        <w:gridCol w:w="109"/>
        <w:gridCol w:w="109"/>
        <w:gridCol w:w="479"/>
        <w:gridCol w:w="482"/>
        <w:gridCol w:w="156"/>
        <w:gridCol w:w="109"/>
        <w:gridCol w:w="109"/>
        <w:gridCol w:w="109"/>
        <w:gridCol w:w="479"/>
        <w:gridCol w:w="482"/>
        <w:gridCol w:w="156"/>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3,766,593 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19,923,756 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20,034,514 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Exchangeable notes(1)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11,434,704 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potential dilutive outstanding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36,286,663 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33,171,022 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For the three months ended March 31, 2025, the potential shares from exchangeable notes were excluded from the diluted EPS calculation as the incremental interest expense, net of tax, and the related shares would not be dilutive under the if-converted method.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90"/>
        <w:jc w:val="left"/>
        <w:rPr>
          <w:rFonts w:ascii="Times New Roman;sans-serif" w:hAnsi="Times New Roman;sans-serif"/>
          <w:b/>
          <w:color w:val="000000"/>
          <w:sz w:val="18"/>
        </w:rPr>
      </w:pPr>
      <w:r>
        <w:rPr>
          <w:rFonts w:ascii="Times New Roman;sans-serif" w:hAnsi="Times New Roman;sans-serif"/>
          <w:b/>
          <w:color w:val="000000"/>
          <w:sz w:val="18"/>
        </w:rPr>
        <w:t>NOTE 15 - SUBSEQUENT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evaluated subsequent events from the balance sheet date through the date that the condensed consolidated financial statements were available to be issued and did not identify any subsequent events that would require adjustment or disclosure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You should read the following discussion and analysis of our financial condition and results of operations together with the unaudited condensed consolidated interim financial statements included elsewhere in this Quarterly Report on Form 10-Q (“Form 10-Q”) and our audited annual consolidated financial statements as of and for the years ended December 31, 2023 and 2022, and the related notes included in our Annual Report on Form 10-K filed with the SEC on March 12, 2025 (“our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Company Overview</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 </w:t>
      </w:r>
    </w:p>
    <w:p>
      <w:pPr>
        <w:pStyle w:val="TextBody"/>
        <w:bidi w:val="0"/>
        <w:spacing w:lineRule="auto" w:line="276"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a product-focused technology company that deploys sophisticated data science and proprietary, AI-powered technology to enable better outcomes for financial institutions, their existing and potential customers, and institutional or sophisticated investors. </w:t>
      </w:r>
    </w:p>
    <w:p>
      <w:pPr>
        <w:pStyle w:val="TextBody"/>
        <w:bidi w:val="0"/>
        <w:spacing w:lineRule="auto" w:line="26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Emerging Growth Company Status</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qualify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will remain an emerging growth company until the earlier of: (i) the last day of the fiscal year (a) following the fifth anniversary of June 22, 2022, or (b) in which we have an annual total gross revenue of at least $1.235 billion, or (c) in which we are deemed to be a large accelerated filer, which means the market value of our ordinary equity that is held by non-affiliates exceeds $700 million as of the last business day of the second fiscal quarter of such fiscal year; or (ii) the date on which we have issued more than $1 billion in non-convertible debt securities during the prior three-year period. References herein to “emerging growth company” have the meaning associated with it in the JOBS Act.</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 Private Issuer Exemptions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technically a “foreign private issuer” under U.S. Securities and Exchange Commission rules. Consequently, we are subject to the reporting requirements under the Exchange Act applicable to foreign private issuers. That said, as previously disclosed on January 16, 2024, we have decided to voluntarily file on U.S. domestic issuer forms with the SEC beginning in 2024. Since then, the Company has been filing its quarterly reports on Form 10-Q, current reports on Form 8-K, and its annual reports on Form 10-K, and will no longer report on forms 20-F and 6-K. In addition, the Company intends to comply with Regulation FD and the SEC’s proxy rules, and the Company's officers, directors, and 10% shareholders will now also begin reporting on Forms 3, 4 and 5, as applicable.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Nevertheless, since we are a foreign private issuer (“FPI”), we could elect to return to follow FPI reporting requirements, such as not having to file our annual report on Form 20-F until 120 days after the end of each fiscal year and permitting us to furnish reports on Form 6-K to the SEC regarding certain information required to be publicly disclosed by us in Israel or that is distributed or required to be distributed by us to our shareholders. Based on our foreign private issuer status, we are also not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are technically exempt from the reporting and “short-swing” profit recovery provisions of Section 16 of the Exchange Act and the rules under the Exchange Act with respect to their purchases and sales of the Ordinary Shares.</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Our Economic Model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8"/>
        </w:rPr>
        <w:t>Pagaya’s revenues are primarily derived from Network Volume. We define Network Volume as the gross dollar value of assets originated by our Partners with the assistance of our artificial intelligence (“AI”) technology</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primarily earn AI integration fees for the creation and delivery of the assets that comprise our Network Volume.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Capital markets execution and contract fees are primarily earned from investors. Multiple funding channels are utilized to enable the purchase of network assets from our Partners, such as asset backed securitizations. Capital markets execution fees are primarily earned from the market pricing of ABS transactions while contract fees are management, performance and similar fees.</w:t>
      </w:r>
    </w:p>
    <w:p>
      <w:pPr>
        <w:pStyle w:val="TextBody"/>
        <w:bidi w:val="0"/>
        <w:spacing w:lineRule="auto" w:line="276"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we earn interest income from our risk retention holdings and our corporate cash balances and investment income associated with our ownership interests in certain Financing Vehicles and other proprietary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pStyle w:val="TextBody"/>
        <w:bidi w:val="0"/>
        <w:spacing w:lineRule="auto" w:line="333" w:before="220" w:after="283"/>
        <w:jc w:val="center"/>
        <w:rPr>
          <w:rFonts w:ascii="Times New Roman;sans-serif" w:hAnsi="Times New Roman;sans-serif"/>
          <w:b/>
          <w:color w:val="000000"/>
          <w:sz w:val="18"/>
        </w:rPr>
      </w:pPr>
      <w:r>
        <w:rPr>
          <w:rFonts w:ascii="Times New Roman;sans-serif" w:hAnsi="Times New Roman;sans-serif"/>
          <w:b/>
          <w:color w:val="000000"/>
          <w:sz w:val="18"/>
        </w:rPr>
        <w:t>Key Factors Affecting Our Performance</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Expanded Usage of Our Network by Our Existing Partners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Adoption of Our Network by Partners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In 2024, we expanded our network with several new Partners, including OneMain Financial and Avvance, the point-of-sale leading solution offered by US Bank and Elavon.</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Continued Improvements to Our AI Technology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$2.7 trillion in application volume.</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Availability and Pricing of Funding from Investors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Regardless of market conditions, the availability and pricing of funding from investors is critical to our growth. We have diversified our investor network and will continue to seek to further diversify our investor base. In the three months ended March 31, 2025, our top 5 ABS investors contributed approximately 53% of our total ABS funding compared to 54% in the 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drawing>
          <wp:inline distT="0" distB="0" distL="0" distR="0">
            <wp:extent cx="5943600" cy="235267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943600" cy="2352675"/>
                    </a:xfrm>
                    <a:prstGeom prst="rect">
                      <a:avLst/>
                    </a:prstGeom>
                  </pic:spPr>
                </pic:pic>
              </a:graphicData>
            </a:graphic>
          </wp:inline>
        </w:drawing>
      </w:r>
      <w:bookmarkStart w:id="0" w:name="i-1"/>
      <w:bookmarkEnd w:id="0"/>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Performance of Assets Originated with the Assistance of Our Proprietary Technology </w:t>
      </w:r>
    </w:p>
    <w:p>
      <w:pPr>
        <w:pStyle w:val="TextBody"/>
        <w:bidi w:val="0"/>
        <w:spacing w:lineRule="auto" w:line="288" w:before="220" w:after="283"/>
        <w:jc w:val="both"/>
        <w:rPr/>
      </w:pPr>
      <w:r>
        <w:rPr>
          <w:rFonts w:ascii="Times New Roman;sans-serif" w:hAnsi="Times New Roman;sans-serif"/>
          <w:b w:val="false"/>
          <w:color w:val="000000"/>
          <w:sz w:val="18"/>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sans-serif" w:hAnsi="Times New Roman;sans-serif"/>
          <w:b w:val="false"/>
          <w:i/>
          <w:color w:val="000000"/>
          <w:sz w:val="18"/>
        </w:rPr>
        <w:t>Risk Factors—Risks Related to the Operations of Our Business</w:t>
      </w:r>
      <w:r>
        <w:rPr>
          <w:color w:val="000000"/>
        </w:rPr>
        <w:t xml:space="preserve">” </w:t>
      </w:r>
      <w:r>
        <w:rPr>
          <w:rFonts w:ascii="Times New Roman;sans-serif" w:hAnsi="Times New Roman;sans-serif"/>
          <w:b w:val="false"/>
          <w:color w:val="000000"/>
          <w:sz w:val="18"/>
        </w:rPr>
        <w:t>in our Annual Report on Form 10-K, which was filed with the SEC on March 12, 2025.</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Impact of Macroeconomic Cycles and Global and Regional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The war in Israel and Gaza, which escalated following the October 7, 2023, attacks by a terrorist organization primarily based in the Gaza Strip remains a source of uncertainty. While the conflict has not materially disrupted our operations to date, its potential to intensify or expand, coupled with related instability in the Middle East, could adversely impact regional and global economic conditions, energy prices, and investor confidence. Such developments may increase volatility in financial markets, elevate operating costs, or constrain funding availability, potentially affecting our business, financial condition, results of operations, and prospects. We continue to monitor the situation closely, though no significant direct impact has been observed as of the date of this Report. The Russia-Ukraine conflict, ongoing since February 2022, persists with no clear resolution as of early 2025. While we have not experienced material impacts on our business from this conflict, prolonged hostilities or further escalation, such as expanded sanctions, disruptions to energy markets, or broader economic fallout, could exacerbate global inflationary pressures and supply chain challenges. These factors may indirectly influence consumer credit demand, investor appetite for risk assets, and our Network Volume. We assess this risk as manageable but remain vigilant given its potential to contribute to wider economic disruptions.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Macroeconomic pressures, including sustained high interest rates and inflation, continue to shape our operating environment. Central banks, including the Federal Reserve, have maintained elevated rates into 2025 to combat inflationary trends, increasing borrowing costs and potentially straining borrowers’ ability to service debt. This could lead to higher delinquencies, defaults, and charge-offs, reducing investor returns and dampening demand for assets generated on our platform. Inflation, though moderating from its 2022-2023 peak, remains above historical norms, driving up operating costs such as employee compensation, financing expenses, and technology investments. These pressures have been partially offset by operational efficiencies and growth in application volume from our Partners, supporting net growth in Network Volume despite a higher cost of capital. Global supply chain disruptions, exacerbated by geopolitical tensions and extreme weather events linked to climate change, continue to challenge economic stability. These disruptions may indirectly affect our Partners’ ability to serve customers and could increase costs across our network.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Strong Partner application volume has mitigated this impact, sustaining Network Volume growth through 2024 and into early 2025. Adverse developments in the financial sector,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18"/>
        </w:rPr>
        <w:t>such as regional bank stresses, liquidity concerns, or prolonged U.S. federal debt ceiling debates, could further complicate our operating landscape. In 2024, isolated bank failures and downgrades sparked temporary market volatility, though our direct exposure remains limited.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though we have not yet seen significant effects on our operations. Economic downturns or prolonged uncertainty may pressure the performance of assets acquired by Financing Vehicles from our network. However, these conditions also provide valuable data to refine our AI technology, enhancing our ability to adapt to shifting market dynamics and deliver value to Partners and investors. Historical events like the COVID-19 pandemic and the current inflationary period have underscored the resilience of our platform, validating its outcomes even amid volatility. For a detailed discussion of uncertainties and other factors that could impact our operating results, see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section in our Annual Report on Form 10-K, which was filed with the SEC on March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pPr>
      <w:r>
        <w:rPr>
          <w:rFonts w:ascii="Times New Roman;sans-serif" w:hAnsi="Times New Roman;sans-serif"/>
          <w:b/>
          <w:color w:val="000000"/>
          <w:sz w:val="18"/>
          <w:shd w:fill="FFFFFF" w:val="clear"/>
        </w:rPr>
        <w:t>Key</w:t>
      </w:r>
      <w:r>
        <w:rPr>
          <w:color w:val="000000"/>
        </w:rPr>
        <w:t xml:space="preserve"> </w:t>
      </w:r>
      <w:r>
        <w:rPr>
          <w:rFonts w:ascii="Times New Roman;sans-serif" w:hAnsi="Times New Roman;sans-serif"/>
          <w:b/>
          <w:color w:val="000000"/>
          <w:sz w:val="18"/>
        </w:rPr>
        <w:t>Operating Metric</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the three months ended March 31, 2025 and 2024.</w:t>
      </w:r>
    </w:p>
    <w:p>
      <w:pPr>
        <w:pStyle w:val="TextBody"/>
        <w:bidi w:val="0"/>
        <w:spacing w:before="0" w:after="0"/>
        <w:jc w:val="both"/>
        <w:rPr/>
      </w:pPr>
      <w:r>
        <w:rPr/>
      </w:r>
    </w:p>
    <w:tbl>
      <w:tblPr>
        <w:tblW w:w="6046"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260"/>
        <w:gridCol w:w="260"/>
        <w:gridCol w:w="468"/>
        <w:gridCol w:w="1329"/>
        <w:gridCol w:w="260"/>
        <w:gridCol w:w="109"/>
        <w:gridCol w:w="109"/>
        <w:gridCol w:w="109"/>
        <w:gridCol w:w="196"/>
        <w:gridCol w:w="556"/>
        <w:gridCol w:w="109"/>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Network Volume</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the Network Volume metric to be a suitable proxy for our overall scale and reach, as we generate revenue primarily on the basis of Network Volume. In addition, Network Volume directly influences Fee Revenue Less Production Cost (FRLPC), a key non-GAAP measure we use to assess operational efficiency. We believe the growth in Network Volume highlights the scalability of our business, which, in turn, affects our operational leverage and profitability. Network Volume is primarily driven by our relationships with our Partners and SFR Partners. We believe Network Volume has benefited from continuous improvements to our proprietary technology, enabling our network to more effectively identify assets for acquisition by the Financing Vehicles, thereby providing additional investment opportunities to investors. As a result,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residential real estate, and point-of-sale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Components of Results of Operations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pStyle w:val="TextBody"/>
        <w:bidi w:val="0"/>
        <w:spacing w:lineRule="auto" w:line="288" w:before="220" w:after="283"/>
        <w:jc w:val="both"/>
        <w:rPr/>
      </w:pPr>
      <w:r>
        <w:rPr>
          <w:rFonts w:ascii="Times New Roman;sans-serif" w:hAnsi="Times New Roman;sans-serif"/>
          <w:b w:val="false"/>
          <w:i/>
          <w:color w:val="000000"/>
          <w:sz w:val="18"/>
        </w:rPr>
        <w:t>Network AI fees.</w:t>
      </w:r>
      <w:r>
        <w:rPr>
          <w:color w:val="000000"/>
        </w:rPr>
        <w:t> </w:t>
      </w:r>
      <w:r>
        <w:rPr>
          <w:rFonts w:ascii="Times New Roman;sans-serif" w:hAnsi="Times New Roman;sans-serif"/>
          <w:b w:val="false"/>
          <w:color w:val="000000"/>
          <w:sz w:val="18"/>
        </w:rPr>
        <w:t>Network AI fees can be further broken down into two fee streams: AI integration fees and capital markets execution fees. We earn AI integration fees for the creation and delivery of the assets that comprise our Network Volume. Multiple funding channels are used to enable the purchase of network assets from our Partners, such as ABS, pass-through and forward flow transactions. Capital markets execution fees are earned when a pre-funded, Pagaya-sponsored ABS vehicle is sold by underwriters.</w:t>
      </w:r>
    </w:p>
    <w:p>
      <w:pPr>
        <w:pStyle w:val="TextBody"/>
        <w:bidi w:val="0"/>
        <w:spacing w:lineRule="auto" w:line="288" w:before="160" w:after="283"/>
        <w:jc w:val="both"/>
        <w:rPr/>
      </w:pPr>
      <w:r>
        <w:rPr>
          <w:rFonts w:ascii="Times New Roman;sans-serif" w:hAnsi="Times New Roman;sans-serif"/>
          <w:b w:val="false"/>
          <w:i/>
          <w:color w:val="000000"/>
          <w:sz w:val="18"/>
        </w:rPr>
        <w:t>Contract fees.</w:t>
      </w:r>
      <w:r>
        <w:rPr>
          <w:color w:val="000000"/>
        </w:rPr>
        <w:t> </w:t>
      </w:r>
      <w:r>
        <w:rPr>
          <w:rFonts w:ascii="Times New Roman;sans-serif" w:hAnsi="Times New Roman;sans-serif"/>
          <w:b w:val="false"/>
          <w:color w:val="000000"/>
          <w:sz w:val="18"/>
        </w:rPr>
        <w:t xml:space="preserve">Contract fees primarily include administration and management fees, and performance fees. Administration and management fees are contracted upon the establishment of Financing Vehicles and these fees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earned as the Financing Vehicle purchase loans and as the Company provides services over their remaining lives, except for the portion management fees that are recognized at the point in time based on contract terms.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Performance fees are earned when certain Financing Vehicles exceed contractual return hurdles and a significant reversal in the amount of cumulative revenue recognized is not expected to occur.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also earn interest income from our risk retention holdings and cash balances and investment income associated with our ownership interests in certain Financing Vehicles and other proprietary investments.</w:t>
      </w:r>
    </w:p>
    <w:p>
      <w:pPr>
        <w:pStyle w:val="TextBody"/>
        <w:bidi w:val="0"/>
        <w:spacing w:lineRule="auto" w:line="288" w:before="220" w:after="283"/>
        <w:jc w:val="both"/>
        <w:rPr/>
      </w:pPr>
      <w:r>
        <w:rPr>
          <w:rFonts w:ascii="Times New Roman;sans-serif" w:hAnsi="Times New Roman;sans-serif"/>
          <w:b/>
          <w:color w:val="000000"/>
          <w:sz w:val="18"/>
        </w:rPr>
        <w:t>Costs and Operating Expenses</w:t>
      </w:r>
      <w:r>
        <w:rPr>
          <w:color w:val="000000"/>
        </w:rPr>
        <w:t xml:space="preserv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Production Costs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Technology, Data and Product Development</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Sales and Marketing</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General and Administrative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Other Expenses, Net</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expenses, net primarily consists of changes in the fair value of warrant liabilities and other items, including credit-related impairment losses on investments in loans and securities. </w:t>
      </w:r>
    </w:p>
    <w:p>
      <w:pPr>
        <w:pStyle w:val="TextBody"/>
        <w:bidi w:val="0"/>
        <w:spacing w:lineRule="auto" w:line="288" w:before="220" w:after="283"/>
        <w:jc w:val="both"/>
        <w:rPr/>
      </w:pPr>
      <w:r>
        <w:rPr>
          <w:rFonts w:ascii="Times New Roman;sans-serif" w:hAnsi="Times New Roman;sans-serif"/>
          <w:b/>
          <w:color w:val="000000"/>
          <w:sz w:val="18"/>
        </w:rPr>
        <w:t>Income Tax Expense</w:t>
      </w:r>
      <w:r>
        <w:rPr>
          <w:color w:val="000000"/>
        </w:rPr>
        <w:t xml:space="preserv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corporate tax rate for Israeli companies, which is 23%. Our taxable income generated in the United States or derived from other sources in Israel which is not eligible for tax benefits will be subject to the regular corporate tax rate in their respective tax jurisdictions.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Net Income Attributable to Noncontrolling Interests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 in our consolidated statements of income is a result of our investments in certain of our consolidated variable interest entities (‘‘VIEs’’) and consists of the portion of the net income of these consolidated entities that is not attributable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2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sets forth operating results for the periods indicated (in thousands, except share and per share data):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2"/>
        <w:gridCol w:w="1920"/>
        <w:gridCol w:w="1938"/>
        <w:gridCol w:w="109"/>
        <w:gridCol w:w="109"/>
        <w:gridCol w:w="211"/>
        <w:gridCol w:w="211"/>
        <w:gridCol w:w="382"/>
        <w:gridCol w:w="1427"/>
        <w:gridCol w:w="211"/>
        <w:gridCol w:w="109"/>
        <w:gridCol w:w="109"/>
        <w:gridCol w:w="109"/>
        <w:gridCol w:w="202"/>
        <w:gridCol w:w="759"/>
        <w:gridCol w:w="157"/>
      </w:tblGrid>
      <w:tr>
        <w:trPr/>
        <w:tc>
          <w:tcPr>
            <w:tcW w:w="2242"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45" w:type="dxa"/>
            <w:gridSpan w:val="6"/>
            <w:tcBorders/>
          </w:tcPr>
          <w:p>
            <w:pPr>
              <w:pStyle w:val="TableContents"/>
              <w:bidi w:val="0"/>
              <w:spacing w:before="0" w:after="283"/>
              <w:jc w:val="left"/>
              <w:rPr>
                <w:sz w:val="4"/>
                <w:szCs w:val="4"/>
              </w:rPr>
            </w:pPr>
            <w:r>
              <w:rPr>
                <w:sz w:val="4"/>
                <w:szCs w:val="4"/>
              </w:rPr>
            </w:r>
          </w:p>
        </w:tc>
      </w:tr>
      <w:tr>
        <w:trPr/>
        <w:tc>
          <w:tcPr>
            <w:tcW w:w="6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289,989 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Including Noncontrolling Interests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Attributable to Pagaya Technologies Ltd.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attributable to Pagaya Technologies Ltd.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earnings allocated to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Pagaya Technologies Ltd.’s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Earnings (loss) per share attributable to Pagaya Technologies Ltd.’s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75,765,080 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77,043,464 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The following table sets forth share-based compensation for the periods indicated below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8078" w:type="dxa"/>
        <w:jc w:val="left"/>
        <w:tblInd w:w="0" w:type="dxa"/>
        <w:tblLayout w:type="fixed"/>
        <w:tblCellMar>
          <w:top w:w="28" w:type="dxa"/>
          <w:left w:w="28" w:type="dxa"/>
          <w:bottom w:w="28" w:type="dxa"/>
          <w:right w:w="28" w:type="dxa"/>
        </w:tblCellMar>
      </w:tblPr>
      <w:tblGrid>
        <w:gridCol w:w="1435"/>
        <w:gridCol w:w="1260"/>
        <w:gridCol w:w="1264"/>
        <w:gridCol w:w="109"/>
        <w:gridCol w:w="109"/>
        <w:gridCol w:w="240"/>
        <w:gridCol w:w="240"/>
        <w:gridCol w:w="432"/>
        <w:gridCol w:w="1426"/>
        <w:gridCol w:w="240"/>
        <w:gridCol w:w="109"/>
        <w:gridCol w:w="109"/>
        <w:gridCol w:w="109"/>
        <w:gridCol w:w="196"/>
        <w:gridCol w:w="64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in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Comparison of Three Months Ended March 31, 2025 and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Total Revenue and Other Income</w:t>
      </w:r>
      <w:r>
        <w:rPr>
          <w:color w:val="000000"/>
        </w:rPr>
        <w:t xml:space="preserve"> </w:t>
      </w:r>
    </w:p>
    <w:tbl>
      <w:tblPr>
        <w:tblW w:w="7702" w:type="dxa"/>
        <w:jc w:val="left"/>
        <w:tblInd w:w="0" w:type="dxa"/>
        <w:tblLayout w:type="fixed"/>
        <w:tblCellMar>
          <w:top w:w="28" w:type="dxa"/>
          <w:left w:w="28" w:type="dxa"/>
          <w:bottom w:w="28" w:type="dxa"/>
          <w:right w:w="28" w:type="dxa"/>
        </w:tblCellMar>
      </w:tblPr>
      <w:tblGrid>
        <w:gridCol w:w="890"/>
        <w:gridCol w:w="781"/>
        <w:gridCol w:w="788"/>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48"/>
        <w:gridCol w:w="248"/>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43" w:after="30"/>
              <w:jc w:val="righ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 (loss)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and Other Income</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289,989 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245,276 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Total revenue and other income, increased by $44.7 million, or 18%, to $290.0 million for the three months ended March 31, 2025 from $245.3 million for the three months ended March 31, 2024. The increase was primarily driven by an increase in revenue from fees, partially offset by a decrease in investment (loss) income. </w:t>
      </w:r>
    </w:p>
    <w:p>
      <w:pPr>
        <w:pStyle w:val="TextBody"/>
        <w:bidi w:val="0"/>
        <w:spacing w:lineRule="auto" w:line="26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from fees for the three months ended March 31, 2025 increased by $45.7 million, or 19%, to $282.7 million, compared to the same period in 2024. The increase was primarily due to a $38.1 million increase in Network AI fees, comprised of AI integration fees and capital markets execution fees, from $215.3 million for the three months ended March 31, 2024 to $253.4 million for the three months ended March 31, 2025. The increase in Network AI fees was primarily driven by improved economics of AI integration fees earned from certain Partners which increased by 25% from $205.6 million for the three months ended March 31, 2024 to $257.5 million for the three months ended March 31, 2025. These increases were partially offset by a decrease in capital markets execution fees earned from our ABS transactions during the three months ended March 31, 2025. </w:t>
      </w:r>
    </w:p>
    <w:p>
      <w:pPr>
        <w:pStyle w:val="TextBody"/>
        <w:bidi w:val="0"/>
        <w:spacing w:lineRule="auto" w:line="26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fees, comprised of administration and management fees and performance fees, increased by $7.6 million from $21.7 million for the three months ended March 31, 2024 to $29.3 million for the three months ended March 31, 2025. This increase was due to higher net asset values of assets held by certain Financing Vehicles driven by continued business growth, and an increase in performance fees, as the prior year period included a reversal of performance fees.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remained relatively flat year over year. Interest income is directly related to our risk retention holdings and related securities held in our consolidated VIEs as well as certain risk retention holdings held directly by our consolidated subsidiaries. For further information, see “—Net Income (Loss) Attributable to Noncontrolling Interests.”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Investment (loss) income decreased by $0.9 million to a loss of $0.4 million for the three months ended March 31, 2025 from an income of $0.5 million for three months ended March 31, 2024, reflecting an unfavorable impact from the change in valuation of certain proprietary investments.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Costs and Operating Expenses</w:t>
      </w:r>
      <w:r>
        <w:rPr>
          <w:color w:val="000000"/>
        </w:rPr>
        <w:t xml:space="preserve"> </w:t>
      </w:r>
    </w:p>
    <w:tbl>
      <w:tblPr>
        <w:tblW w:w="5785" w:type="dxa"/>
        <w:jc w:val="left"/>
        <w:tblInd w:w="0" w:type="dxa"/>
        <w:tblLayout w:type="fixed"/>
        <w:tblCellMar>
          <w:top w:w="28" w:type="dxa"/>
          <w:left w:w="28" w:type="dxa"/>
          <w:bottom w:w="28" w:type="dxa"/>
          <w:right w:w="28" w:type="dxa"/>
        </w:tblCellMar>
      </w:tblPr>
      <w:tblGrid>
        <w:gridCol w:w="1145"/>
        <w:gridCol w:w="1009"/>
        <w:gridCol w:w="1011"/>
        <w:gridCol w:w="209"/>
        <w:gridCol w:w="787"/>
        <w:gridCol w:w="116"/>
        <w:gridCol w:w="116"/>
        <w:gridCol w:w="116"/>
        <w:gridCol w:w="116"/>
        <w:gridCol w:w="209"/>
        <w:gridCol w:w="787"/>
        <w:gridCol w:w="16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Operating Expenses</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242,304 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237,586 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Production Costs</w:t>
      </w:r>
    </w:p>
    <w:tbl>
      <w:tblPr>
        <w:tblW w:w="6460" w:type="dxa"/>
        <w:jc w:val="left"/>
        <w:tblInd w:w="0" w:type="dxa"/>
        <w:tblLayout w:type="fixed"/>
        <w:tblCellMar>
          <w:top w:w="28" w:type="dxa"/>
          <w:left w:w="28" w:type="dxa"/>
          <w:bottom w:w="28" w:type="dxa"/>
          <w:right w:w="28" w:type="dxa"/>
        </w:tblCellMar>
      </w:tblPr>
      <w:tblGrid>
        <w:gridCol w:w="472"/>
        <w:gridCol w:w="416"/>
        <w:gridCol w:w="417"/>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3" w:after="30"/>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Production costs increased by $22.2 million, or 15%, to $167.1 million for the three months ended March 31, 2025 from $144.9 million for the three months ended March 31, 2024. This increase was due to the composition of the asset classes that make up our Network Volume, as well as new Partners onboarded to our network.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Technology, Data and Product Development</w:t>
      </w:r>
    </w:p>
    <w:tbl>
      <w:tblPr>
        <w:tblW w:w="8078" w:type="dxa"/>
        <w:jc w:val="left"/>
        <w:tblInd w:w="0" w:type="dxa"/>
        <w:tblLayout w:type="fixed"/>
        <w:tblCellMar>
          <w:top w:w="28" w:type="dxa"/>
          <w:left w:w="28" w:type="dxa"/>
          <w:bottom w:w="28" w:type="dxa"/>
          <w:right w:w="28" w:type="dxa"/>
        </w:tblCellMar>
      </w:tblPr>
      <w:tblGrid>
        <w:gridCol w:w="1147"/>
        <w:gridCol w:w="1007"/>
        <w:gridCol w:w="1010"/>
        <w:gridCol w:w="226"/>
        <w:gridCol w:w="748"/>
        <w:gridCol w:w="126"/>
        <w:gridCol w:w="126"/>
        <w:gridCol w:w="126"/>
        <w:gridCol w:w="126"/>
        <w:gridCol w:w="226"/>
        <w:gridCol w:w="748"/>
        <w:gridCol w:w="126"/>
        <w:gridCol w:w="109"/>
        <w:gridCol w:w="109"/>
        <w:gridCol w:w="109"/>
        <w:gridCol w:w="217"/>
        <w:gridCol w:w="367"/>
        <w:gridCol w:w="122"/>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 costs remained relatively flat year over year. Excluding $1.3 million contributions from Theorem in the current period, technology, data and product development costs decreased by $1.2 million. This decrease was primarily driven by a $2.9 million decrease in compensation expense, partially offset by a $0.7 million increase in depreciation expenses and a $1.1 million increase in other miscellaneous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three months ended March 31, 2025 and 2024, we capitalized $4.5 million and $6.3 million of software development costs, respectively. Depreciation expense, including impairment charges, for capitalized software development costs was $6.2 million and $5.6 million during the three months ended March 31, 2025 and 2024,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Sales and Marketing</w:t>
      </w:r>
    </w:p>
    <w:tbl>
      <w:tblPr>
        <w:tblW w:w="6552" w:type="dxa"/>
        <w:jc w:val="left"/>
        <w:tblInd w:w="0" w:type="dxa"/>
        <w:tblLayout w:type="fixed"/>
        <w:tblCellMar>
          <w:top w:w="28" w:type="dxa"/>
          <w:left w:w="28" w:type="dxa"/>
          <w:bottom w:w="28" w:type="dxa"/>
          <w:right w:w="28" w:type="dxa"/>
        </w:tblCellMar>
      </w:tblPr>
      <w:tblGrid>
        <w:gridCol w:w="559"/>
        <w:gridCol w:w="492"/>
        <w:gridCol w:w="494"/>
        <w:gridCol w:w="236"/>
        <w:gridCol w:w="670"/>
        <w:gridCol w:w="131"/>
        <w:gridCol w:w="131"/>
        <w:gridCol w:w="131"/>
        <w:gridCol w:w="131"/>
        <w:gridCol w:w="236"/>
        <w:gridCol w:w="779"/>
        <w:gridCol w:w="131"/>
        <w:gridCol w:w="109"/>
        <w:gridCol w:w="109"/>
        <w:gridCol w:w="109"/>
        <w:gridCol w:w="196"/>
        <w:gridCol w:w="496"/>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Sales and marketing costs for the three months ended March 31, 2025 decreased by $0.7 million,</w:t>
      </w:r>
      <w:r>
        <w:rPr>
          <w:color w:val="000000"/>
        </w:rPr>
        <w:t xml:space="preserve"> </w:t>
      </w:r>
      <w:r>
        <w:rPr>
          <w:rFonts w:ascii="Times New Roman;sans-serif" w:hAnsi="Times New Roman;sans-serif"/>
          <w:b w:val="false"/>
          <w:color w:val="000000"/>
          <w:sz w:val="18"/>
        </w:rPr>
        <w:t xml:space="preserve">compared to the same period in 2024. Excluding $1.3 million contribution from Theorem in the current period, sales and marketing costs for the three months ended March 31, 2025 decreased $2.0 million compared to the same period in 2024, primarily driven by a $3.6 million decrease in compensation expenses, partially offset by a $1.7 million increase in overhead allocation and other miscellaneous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General and Administrative</w:t>
      </w:r>
    </w:p>
    <w:tbl>
      <w:tblPr>
        <w:tblW w:w="7243" w:type="dxa"/>
        <w:jc w:val="left"/>
        <w:tblInd w:w="0" w:type="dxa"/>
        <w:tblLayout w:type="fixed"/>
        <w:tblCellMar>
          <w:top w:w="28" w:type="dxa"/>
          <w:left w:w="28" w:type="dxa"/>
          <w:bottom w:w="28" w:type="dxa"/>
          <w:right w:w="28" w:type="dxa"/>
        </w:tblCellMar>
      </w:tblPr>
      <w:tblGrid>
        <w:gridCol w:w="727"/>
        <w:gridCol w:w="640"/>
        <w:gridCol w:w="642"/>
        <w:gridCol w:w="226"/>
        <w:gridCol w:w="748"/>
        <w:gridCol w:w="126"/>
        <w:gridCol w:w="126"/>
        <w:gridCol w:w="126"/>
        <w:gridCol w:w="126"/>
        <w:gridCol w:w="226"/>
        <w:gridCol w:w="748"/>
        <w:gridCol w:w="126"/>
        <w:gridCol w:w="109"/>
        <w:gridCol w:w="109"/>
        <w:gridCol w:w="109"/>
        <w:gridCol w:w="196"/>
        <w:gridCol w:w="721"/>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General and administrative costs for the three months ended March 31, 2025 decreased by $16.9 million</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18"/>
        </w:rPr>
        <w:t>compared to the same period in 2024. Excluding $2.6 million contribution from Theorem in the current period, general and administrative costs for the three months ended March 31, 2025 decreased $19.5 million, or 31%, primarily driven by a $12.5 million decrease in transaction costs, and a $3.0 million decrease in compensation expenses.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Other Expense, Net</w:t>
      </w:r>
    </w:p>
    <w:tbl>
      <w:tblPr>
        <w:tblW w:w="6674" w:type="dxa"/>
        <w:jc w:val="left"/>
        <w:tblInd w:w="0" w:type="dxa"/>
        <w:tblLayout w:type="fixed"/>
        <w:tblCellMar>
          <w:top w:w="28" w:type="dxa"/>
          <w:left w:w="28" w:type="dxa"/>
          <w:bottom w:w="28" w:type="dxa"/>
          <w:right w:w="28" w:type="dxa"/>
        </w:tblCellMar>
      </w:tblPr>
      <w:tblGrid>
        <w:gridCol w:w="520"/>
        <w:gridCol w:w="458"/>
        <w:gridCol w:w="462"/>
        <w:gridCol w:w="212"/>
        <w:gridCol w:w="782"/>
        <w:gridCol w:w="118"/>
        <w:gridCol w:w="118"/>
        <w:gridCol w:w="118"/>
        <w:gridCol w:w="118"/>
        <w:gridCol w:w="212"/>
        <w:gridCol w:w="782"/>
        <w:gridCol w:w="118"/>
        <w:gridCol w:w="109"/>
        <w:gridCol w:w="109"/>
        <w:gridCol w:w="109"/>
        <w:gridCol w:w="196"/>
        <w:gridCol w:w="721"/>
        <w:gridCol w:w="109"/>
        <w:gridCol w:w="109"/>
        <w:gridCol w:w="109"/>
        <w:gridCol w:w="109"/>
        <w:gridCol w:w="204"/>
        <w:gridCol w:w="204"/>
        <w:gridCol w:w="56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Other expense, net for the three months ended March 31, 2025 increased $13.4 million, compared to the same period in 2024. The increase was primarily due to a higher interest expenses of $8.7 million from the long-term debt and exchangeable note and a higher credit-related impairment loss of $7.9 million on certain investments, driven by changes in the fair value of investments in loans and securities as a result of fluctuations in key inputs to the discounted cash flow models used to determine fair value. Of the credit-related impairment loss of $7.9 million, $6.8 million is attributable to the noncontrolling interest in certain VIEs and accordingly, is not attributable to Pagaya. For further information, please see “—Net Income (Loss) Attributable to Noncontrolling Interests.” These increases were partially offset by a $3.2 million favorable impact from the changes in a contingent consideration liability. See Note 8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Income Tax Expense </w:t>
      </w:r>
    </w:p>
    <w:tbl>
      <w:tblPr>
        <w:tblW w:w="7391" w:type="dxa"/>
        <w:jc w:val="left"/>
        <w:tblInd w:w="0" w:type="dxa"/>
        <w:tblLayout w:type="fixed"/>
        <w:tblCellMar>
          <w:top w:w="28" w:type="dxa"/>
          <w:left w:w="28" w:type="dxa"/>
          <w:bottom w:w="28" w:type="dxa"/>
          <w:right w:w="28" w:type="dxa"/>
        </w:tblCellMar>
      </w:tblPr>
      <w:tblGrid>
        <w:gridCol w:w="782"/>
        <w:gridCol w:w="686"/>
        <w:gridCol w:w="692"/>
        <w:gridCol w:w="238"/>
        <w:gridCol w:w="766"/>
        <w:gridCol w:w="132"/>
        <w:gridCol w:w="132"/>
        <w:gridCol w:w="132"/>
        <w:gridCol w:w="132"/>
        <w:gridCol w:w="238"/>
        <w:gridCol w:w="675"/>
        <w:gridCol w:w="132"/>
        <w:gridCol w:w="109"/>
        <w:gridCol w:w="109"/>
        <w:gridCol w:w="109"/>
        <w:gridCol w:w="196"/>
        <w:gridCol w:w="631"/>
        <w:gridCol w:w="109"/>
        <w:gridCol w:w="109"/>
        <w:gridCol w:w="109"/>
        <w:gridCol w:w="109"/>
        <w:gridCol w:w="248"/>
        <w:gridCol w:w="248"/>
        <w:gridCol w:w="5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expense for the three months ended March 31, 2025 decreased $7.5 million, compared to the same period in 2024. The decrease was primarily driven by discrete tax expenses related to a change in the reserve for an uncertain tax position related to credit loss on investments in loans and securities during the three months ended March 31,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Net Loss Attributable to Noncontrolling Interests</w:t>
      </w:r>
    </w:p>
    <w:tbl>
      <w:tblPr>
        <w:tblW w:w="8485" w:type="dxa"/>
        <w:jc w:val="left"/>
        <w:tblInd w:w="0" w:type="dxa"/>
        <w:tblLayout w:type="fixed"/>
        <w:tblCellMar>
          <w:top w:w="28" w:type="dxa"/>
          <w:left w:w="28" w:type="dxa"/>
          <w:bottom w:w="28" w:type="dxa"/>
          <w:right w:w="28" w:type="dxa"/>
        </w:tblCellMar>
      </w:tblPr>
      <w:tblGrid>
        <w:gridCol w:w="1239"/>
        <w:gridCol w:w="1089"/>
        <w:gridCol w:w="1091"/>
        <w:gridCol w:w="221"/>
        <w:gridCol w:w="711"/>
        <w:gridCol w:w="122"/>
        <w:gridCol w:w="122"/>
        <w:gridCol w:w="122"/>
        <w:gridCol w:w="122"/>
        <w:gridCol w:w="221"/>
        <w:gridCol w:w="812"/>
        <w:gridCol w:w="122"/>
        <w:gridCol w:w="109"/>
        <w:gridCol w:w="109"/>
        <w:gridCol w:w="109"/>
        <w:gridCol w:w="196"/>
        <w:gridCol w:w="556"/>
        <w:gridCol w:w="109"/>
        <w:gridCol w:w="109"/>
        <w:gridCol w:w="109"/>
        <w:gridCol w:w="109"/>
        <w:gridCol w:w="204"/>
        <w:gridCol w:w="204"/>
        <w:gridCol w:w="568"/>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interests for the three months ended March 31, 2025 decreased by $5.0 million, or 48%, compared to the same period in 2024. The decrease was driven by the net loss generated by our consolidated VIEs associated with our risk retention holdings. This amount represented the net loss of the consolidated VIEs which was not attributable to Pagaya, but rather to the noncontrolling interest holders. For the three months ended March 31, 2025, the net loss attributable to noncontrolling interests reported interest income of $1.8 million generated from risk retention holdings offset by the credit-related impairment loss of $6.8 million on the same risk retention holdings. For further information, see “—Total Revenue and Other Income” and “—Other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ans-serif" w:hAnsi="Times New Roman;sans-serif"/>
          <w:b/>
          <w:color w:val="000000"/>
          <w:sz w:val="18"/>
        </w:rPr>
      </w:pPr>
      <w:r>
        <w:rPr>
          <w:rFonts w:ascii="Times New Roman;sans-serif" w:hAnsi="Times New Roman;sans-serif"/>
          <w:b/>
          <w:color w:val="000000"/>
          <w:sz w:val="18"/>
        </w:rPr>
        <w:t>Reconciliation of Non-GAAP Financial Measures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 supplement our consolidated financial statements prepared and presented in accordance with U.S. GAAP, we use the non-GAAP financial measures FRLPC, Fee Revenue Less Production Costs as percentage of Network Volume (FRLPC %), Adjusted Net Income,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 address these limitations, we provide a reconciliation of FRLPC, FRLPC %, Adjusted Net Income, and Adjusted EBITDA to the most directly comparable U.S. GAAP measure. We encourage investors and others to review our financial information in its entirety, not to rely on any single financial measure and to view FRLPC, FRLPC %, Adjusted Net Income, and Adjusted EBITDA in conjunction with their respective related U.S. GAAP financial measures.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FRLPC, FRLPC %, Adjusted Net Income, and Adjusted EBITDA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FRLPC, FRLPC %, Adjusted Net Income, and Adjusted EBITDA for the three and three months ended March 31, 2025 and 2024 are summarized below ($ in thousands):</w:t>
      </w:r>
    </w:p>
    <w:p>
      <w:pPr>
        <w:pStyle w:val="TextBody"/>
        <w:bidi w:val="0"/>
        <w:spacing w:before="0" w:after="0"/>
        <w:jc w:val="left"/>
        <w:rPr/>
      </w:pPr>
      <w:r>
        <w:rPr/>
      </w:r>
    </w:p>
    <w:tbl>
      <w:tblPr>
        <w:tblW w:w="8061" w:type="dxa"/>
        <w:jc w:val="left"/>
        <w:tblInd w:w="0" w:type="dxa"/>
        <w:tblLayout w:type="fixed"/>
        <w:tblCellMar>
          <w:top w:w="28" w:type="dxa"/>
          <w:left w:w="28" w:type="dxa"/>
          <w:bottom w:w="28" w:type="dxa"/>
          <w:right w:w="28" w:type="dxa"/>
        </w:tblCellMar>
      </w:tblPr>
      <w:tblGrid>
        <w:gridCol w:w="1373"/>
        <w:gridCol w:w="1209"/>
        <w:gridCol w:w="1212"/>
        <w:gridCol w:w="109"/>
        <w:gridCol w:w="109"/>
        <w:gridCol w:w="200"/>
        <w:gridCol w:w="200"/>
        <w:gridCol w:w="359"/>
        <w:gridCol w:w="1351"/>
        <w:gridCol w:w="469"/>
        <w:gridCol w:w="109"/>
        <w:gridCol w:w="109"/>
        <w:gridCol w:w="109"/>
        <w:gridCol w:w="196"/>
        <w:gridCol w:w="646"/>
        <w:gridCol w:w="301"/>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Revenue Less Production Cost (FRLPC)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115,621 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Revenue Less Production Costs % (FRLPC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53,189 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79,583 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or services rendered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Adjusted Net Income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and non-recurring expenses associated with mergers and acquisitions. Adjusted EBITDA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non-recurring expenses associated with mergers and acquisitions, interest expense, depreciation expense, and provision (and benefit from) for income taxes. 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reconciliations of FRLPC to Operating Income, and Adjusted EBITDA to Net Income Attributable to Pagaya Technologies Ltd., in each case the most directly comparable U.S. GAAP measure ($ in thousands, unless otherwise noted):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tbl>
      <w:tblPr>
        <w:tblW w:w="8332" w:type="dxa"/>
        <w:jc w:val="left"/>
        <w:tblInd w:w="0" w:type="dxa"/>
        <w:tblLayout w:type="fixed"/>
        <w:tblCellMar>
          <w:top w:w="28" w:type="dxa"/>
          <w:left w:w="28" w:type="dxa"/>
          <w:bottom w:w="28" w:type="dxa"/>
          <w:right w:w="28" w:type="dxa"/>
        </w:tblCellMar>
      </w:tblPr>
      <w:tblGrid>
        <w:gridCol w:w="1472"/>
        <w:gridCol w:w="1293"/>
        <w:gridCol w:w="1300"/>
        <w:gridCol w:w="109"/>
        <w:gridCol w:w="109"/>
        <w:gridCol w:w="200"/>
        <w:gridCol w:w="200"/>
        <w:gridCol w:w="359"/>
        <w:gridCol w:w="1351"/>
        <w:gridCol w:w="469"/>
        <w:gridCol w:w="109"/>
        <w:gridCol w:w="109"/>
        <w:gridCol w:w="109"/>
        <w:gridCol w:w="196"/>
        <w:gridCol w:w="646"/>
        <w:gridCol w:w="301"/>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47,685 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Technology, data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19,444 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46,183 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7,676 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 Revenue Less Production Costs (FRLPC)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115,621 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 Volume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 Revenue Less Production Costs % (FRLPC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tbl>
      <w:tblPr>
        <w:tblW w:w="8933" w:type="dxa"/>
        <w:jc w:val="left"/>
        <w:tblInd w:w="0" w:type="dxa"/>
        <w:tblLayout w:type="fixed"/>
        <w:tblCellMar>
          <w:top w:w="28" w:type="dxa"/>
          <w:left w:w="28" w:type="dxa"/>
          <w:bottom w:w="28" w:type="dxa"/>
          <w:right w:w="28" w:type="dxa"/>
        </w:tblCellMar>
      </w:tblPr>
      <w:tblGrid>
        <w:gridCol w:w="1715"/>
        <w:gridCol w:w="1510"/>
        <w:gridCol w:w="1514"/>
        <w:gridCol w:w="109"/>
        <w:gridCol w:w="109"/>
        <w:gridCol w:w="240"/>
        <w:gridCol w:w="240"/>
        <w:gridCol w:w="432"/>
        <w:gridCol w:w="1426"/>
        <w:gridCol w:w="240"/>
        <w:gridCol w:w="109"/>
        <w:gridCol w:w="109"/>
        <w:gridCol w:w="109"/>
        <w:gridCol w:w="196"/>
        <w:gridCol w:w="721"/>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 to contingent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 to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certain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Non-recurring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53,189 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79,583 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Liquidity and Capital Resources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and December 31, 2024, the principal sources of liquidity were cash, cash equivalents and restricted cash of $229.6 million and $226.5 million, respectively. We believe these sources will be sufficient to meet our current liquidity needs for the next twelve months, from the date of issuance of the unaudited condensed consolidated financial statements included elsewhere in this Form 10-Q, and be sufficient to support our future cash needs, however, we can provide no assurance that our liquidity and capital resources will meet future funding requirements.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primary requirements for liquidity and capital resources are to purchase and finance risk retention requirements, invest in technology, data and product development and to attract, recruit and retain a strong employee base, as well as to fund potential strategic transactions, including acquisitions, if any. We intend to continue to make strategic investments to support our business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do not have capital expenditure commitments as the vast majority of our capital expenditures relate to the capitalization of certain compensation and non-compensation expenditures used in the development and improvement of our proprietary technology.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We expect to fund our operations with existing cash and cash equivalents, cash generated from operations, including cash flows from investments in loans and securities, and additional secured borrowings, including repurchase agreements. We may also raise additional capital, including through borrowings under the credit facility (see further description of the credit facility below in the section titled “</w:t>
      </w:r>
      <w:r>
        <w:rPr>
          <w:rFonts w:ascii="Times New Roman;sans-serif" w:hAnsi="Times New Roman;sans-serif"/>
          <w:b w:val="false"/>
          <w:i/>
          <w:color w:val="000000"/>
          <w:sz w:val="18"/>
        </w:rPr>
        <w:t>Credit Agreement</w:t>
      </w:r>
      <w:r>
        <w:rPr>
          <w:color w:val="000000"/>
        </w:rPr>
        <w:t>”</w:t>
      </w:r>
      <w:r>
        <w:rPr>
          <w:rFonts w:ascii="Times New Roman;sans-serif" w:hAnsi="Times New Roman;sans-serif"/>
          <w:b w:val="false"/>
          <w:color w:val="000000"/>
          <w:sz w:val="18"/>
        </w:rPr>
        <w:t>) or through the sale or issuance of equity or debt securities, as described below in the sections titled “</w:t>
      </w:r>
      <w:r>
        <w:rPr>
          <w:rFonts w:ascii="Times New Roman;sans-serif" w:hAnsi="Times New Roman;sans-serif"/>
          <w:b w:val="false"/>
          <w:i/>
          <w:color w:val="000000"/>
          <w:sz w:val="18"/>
        </w:rPr>
        <w:t>Shelf Registration Statement</w:t>
      </w:r>
      <w:r>
        <w:rPr>
          <w:color w:val="000000"/>
        </w:rPr>
        <w:t xml:space="preserve">” </w:t>
      </w:r>
      <w:r>
        <w:rPr>
          <w:rFonts w:ascii="Times New Roman;sans-serif" w:hAnsi="Times New Roman;sans-serif"/>
          <w:b w:val="false"/>
          <w:color w:val="000000"/>
          <w:sz w:val="18"/>
        </w:rPr>
        <w:t>and “</w:t>
      </w:r>
      <w:r>
        <w:rPr>
          <w:rFonts w:ascii="Times New Roman;sans-serif" w:hAnsi="Times New Roman;sans-serif"/>
          <w:b w:val="false"/>
          <w:i/>
          <w:color w:val="000000"/>
          <w:sz w:val="18"/>
        </w:rPr>
        <w:t>Ordinary Share Offering</w:t>
      </w:r>
      <w:r>
        <w:rPr>
          <w:rFonts w:ascii="Times New Roman;sans-serif" w:hAnsi="Times New Roman;sans-serif"/>
          <w:b w:val="false"/>
          <w:color w:val="000000"/>
          <w:sz w:val="18"/>
        </w:rPr>
        <w:t xml:space="preserve">,”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borrowings,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“Risk Factors” in our Annual Report on Form 10-K, which was filed with the SEC on March 12,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we will receive the proceeds from any exercise of any public warrants and private placement warrants in cash. Each public warrant and each private placement warrant that was issued and exchanged for each EJFA Private Placement Warrant in the EJFA Merger entitles the holder thereof to purchase one Class A Ordinary Share at a price of $138 per share (as adjusted for the 1-for-12 reverse share split). Following the 1-for-12 reverse share split effective March 2024, each warrant entitles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As of May 6, 2025, the price of our Class A Ordinary Shares was $11.49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color w:val="000000"/>
        </w:rPr>
        <w:t>“</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in our Annual Report on Form 10-K, which was filed with the SEC on March 12,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Securitizations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To comply with risk retention regulatory requirements, we retain at least 5% of the securities issued by securitization vehicles and may choose to hold more than 5% depending on many factors. This 5%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retention is determined based on the fair value of the securities under US GAAP at the time of closing. In ordinary course of business, we enter into certain financing arrangements to finance our risk retention balance in certain notes and securities retained from securitization transactions. From time to time, the Company makes cash deposits that serve to collateralize guarantees for related transactions, included in restricted cash on the consolidated balance sheets. For further information, see Note 4 and Note 5, respectively, to our unaudited condensed consolidated financial statements included elsewhere in this Quarterly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The Committed Equity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August 17, 2022, we entered into the Equity Financing Purchase Agreement and the Equity Financing Registration Rights Agreement with B. Riley Principal Capital II. Pursuant to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three months ended March 31, 2024, 298,057 shares were issued under the Equity Financing Purchase Agreement for net proceeds of $5.2 million. In September 2024, the Company terminated the Equity Financing Purchase Agreement.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Shelf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Ordinary Share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 March 13, 2024, the Company priced an offering of 7,500,000 of its Class A Ordinary Shares, no par value, pursuant to an underwriting agreement (the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Cash Flows</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summarized consolidated cash flow information for the periods presented (in thousands):</w:t>
      </w:r>
    </w:p>
    <w:p>
      <w:pPr>
        <w:pStyle w:val="TextBody"/>
        <w:bidi w:val="0"/>
        <w:spacing w:before="0" w:after="0"/>
        <w:jc w:val="both"/>
        <w:rPr/>
      </w:pPr>
      <w:r>
        <w:rPr/>
      </w:r>
    </w:p>
    <w:tbl>
      <w:tblPr>
        <w:tblW w:w="6510" w:type="dxa"/>
        <w:jc w:val="left"/>
        <w:tblInd w:w="0" w:type="dxa"/>
        <w:tblLayout w:type="fixed"/>
        <w:tblCellMar>
          <w:top w:w="28" w:type="dxa"/>
          <w:left w:w="28" w:type="dxa"/>
          <w:bottom w:w="28" w:type="dxa"/>
          <w:right w:w="28" w:type="dxa"/>
        </w:tblCellMar>
      </w:tblPr>
      <w:tblGrid>
        <w:gridCol w:w="1332"/>
        <w:gridCol w:w="1166"/>
        <w:gridCol w:w="1176"/>
        <w:gridCol w:w="204"/>
        <w:gridCol w:w="753"/>
        <w:gridCol w:w="113"/>
        <w:gridCol w:w="113"/>
        <w:gridCol w:w="113"/>
        <w:gridCol w:w="113"/>
        <w:gridCol w:w="204"/>
        <w:gridCol w:w="847"/>
        <w:gridCol w:w="113"/>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18"/>
        </w:rPr>
      </w:pPr>
      <w:r>
        <w:rPr>
          <w:rFonts w:ascii="Times New Roman;sans-serif" w:hAnsi="Times New Roman;sans-serif"/>
          <w:b/>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primary uses of cash in operating activities are for ordinary course of business, with the primary use related to employee and personnel-related expenses. As of March 31, 2025, we had 527 employees compared to 892 on March 31, 2024. During the the first and second quarters of 2024, we reduced our headcount by over 20% across our Israel and U.S. offices. This reduction in workforce enabled us to streamline our operations resulting in cost savings.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Net cash provided by operating activities for the three months ended March 31, 2025 was $34.4 million, an increase of $16.7 million from net cash provided by operating activities of $17.7 million for the same period in 2024. This reflects our net income including noncontrolling interests of $2.5 million, adjusted for non-cash charges of $56.0 million, and net cash outflows of $24.1 million from changes in our operating assets net of operating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Non-cash charges primarily consisted of (1) impairment losses on investments in loans and securities, which increased by $10.1 million driven by changes in the fair value of investments in loans and securities as a result of fluctuations in key inputs to the discounted cash flow models used to determine fair value, of which $6.8 million is not attributable to Pagaya, but rather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attributable to the VIEs noncontrolling interests, (2) share-based compensation, which decreased by $2.3 million, (3) depreciation and amortization, which increased by $1.4 million primarily from capitalized software, and (4) fair value adjustment to warrant liability, which increased by $3.0 million driven by changes in the market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net cash flows resulting from changes in operating assets and liabilities decreased by $25.9 million to net cash outflows of $24.1 million for the three months ended March 31, 2025 compared to net cash inflows of $1.9 million for the same period in 2024. </w:t>
      </w:r>
    </w:p>
    <w:p>
      <w:pPr>
        <w:pStyle w:val="TextBody"/>
        <w:bidi w:val="0"/>
        <w:spacing w:lineRule="auto" w:line="288" w:before="220" w:after="283"/>
        <w:jc w:val="both"/>
        <w:rPr/>
      </w:pPr>
      <w:r>
        <w:rPr>
          <w:rFonts w:ascii="Times New Roman;sans-serif" w:hAnsi="Times New Roman;sans-serif"/>
          <w:b/>
          <w:color w:val="000000"/>
          <w:sz w:val="18"/>
        </w:rPr>
        <w:t>Investing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primary uses of cash in investing activities are the purchase of risk retention assets of sponsored securitization vehicles and investments in equity method and other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March 31, 2025, net cash used in investing activities of $26.9 million was primarily attributable to purchases of risk retention assets of $81.9 million, which decreased by $179.7 million driven by management’s decision to purchase more than the required minimum risk retention holdings in the prior period, partially offset by proceeds received from existing risk retention assets of $58.7 million, which increased by $20.0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For the three months ended March 31, 2025, net cash used in financing activities of $3.8 million was primarily attributable to $46.9 million of payment made to secured borrowing, $4.4 million of distributions made to noncontrolling interests, and $4.4 million</w:t>
      </w:r>
      <w:r>
        <w:rPr>
          <w:color w:val="000000"/>
        </w:rPr>
        <w:t xml:space="preserve"> </w:t>
      </w:r>
      <w:r>
        <w:rPr>
          <w:rFonts w:ascii="Times New Roman;sans-serif" w:hAnsi="Times New Roman;sans-serif"/>
          <w:b w:val="false"/>
          <w:color w:val="000000"/>
          <w:sz w:val="18"/>
        </w:rPr>
        <w:t xml:space="preserve">of repayments made to long-term debt. These net cash outflows were offset by $49.2 million of proceeds from secured borrowing.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Indebtedness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Exchangeable Senior Notes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 October 1, 2024, Pagaya US Holding Company LLC (“Pagaya US”), a wholly-owned subsidiary of the Company, issued $160 million in aggregate principal amount of 6.125% exchangeable senior notes due 2029 (the “Notes”). The issuance was in connection with a purchase agreement dated September 26, 2024, with certain initial purchasers. The Company intends to use the net proceeds from the Notes to repay higher-cost debt and reduce interest expense, with the remainder allocated for general corporate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Notes bear interest at a rate of 6.125% per annum, payable semiannually in arrears on April 1 and October 1 of each year, beginning April 1, 2025, and mature on October 1, 2029, unless earlier repurchased, redeemed, or exchanged. The Notes are exchangeable for cash, Class A Ordinary Shares of the Company, or a combination of both, at the Company’s discretion, subject to certain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Notes are senior, unsecured obligations of Pagaya US and are fully and unconditionally guaranteed on a senior, unsecured basis by the Company. The Notes rank equally in right of payment with other senior, unsecured indebtedness and are structurally subordinated to all existing and future liabilities of Pagaya US’s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initial exchange rate of the Notes is 71.4669 Class A Ordinary Shares per $1,000 principal amount of Notes (which is equivalent to an initial exchange price of approximately $13.99 per share). The exchange rate will be subject to adjustment upon the occurrence of certain events. In addition, upon the occurrence of a “make-whole fundamental change” (as defined in the indenture governing the Notes) or if Pagaya US redeems the Notes, Pagaya US will, in certain circumstances, increase the exchange rate by a number of additional Class A Ordinary Shares for a holder who elects to convert its Notes in connection with such make-whole fundamental change or to convert its Notes called for redemption during the related redemption exchange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Prior to the close of business on the business day immediately preceding July 2, 2029, the Notes will be exchangeable at the option of the holders only upon the satisfaction of specified conditions. These conditions include, among others, the sale price of the Class A Ordinary Shares exceeding 130% of the initial exchange price for a specified number of trading days. On or after July 2, 2029 until the close of business on the second scheduled trading day immediately preceding October 1, 2029, the Notes will be exchangeable at the option of the holders at any time regardless of the specified conditions.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Pagaya US may redeem the Notes in whole or in part on or after October 5, 2027, only if the last reported sale price per Class A Ordinary Share exceeds 130% of the exchange price for a specified period of time and certain other conditions are satisfied. The redemption price will be equal to the principal amount of the Notes to be redeemed, plus accrued and unpaid interest, if any, to, but excluding, the redemption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a “fundamental change” (as defined in the indenture governing the Notes) of the Company occurs, then, subject to a limited exception, noteholders may require Pagaya US to repurchase their Notes for cash. The repurchase price will be equal to the principal amount of the Notes to be repurchased, plus accrued and unpaid interest to, but excluding, the fundamental change repurchase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In November 2024, the Company amended the Credit Agreement to increase the Term Loan Facility by $100 million, bringing the total principal amount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may voluntarily prepay borrowings under the Facilities at any time and from time to time subject to, in regards to voluntary prepayments and certain mandatory prepayments of the Term Loan Facility, a 3.00% fee if paid prior to the first anniversary of the Term Loan Facility, 2.00% if paid after the first anniversary but prior to the second anniversary, 1.00% if after the second anniversary but prior to the third anniversary, and 0.50% if after the third anniversary but prior to the fourth anniversary. In each case, prepayments of the Facilities may be subject to the payment of “breakage” costs.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Facilities contain certain customary mandatory prepayment events, including requirements to prepay the Term Loan Facility with excess cash flow and with the net cash proceeds from certain asset dispositions and casualty events, subject to customary reinvestment rights and other exceptions.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obligations under the Credit Agreement are guaranteed by certain of the Company’s material, wholly-owned subsidiaries (collectively, the “Guarantors”) and are secured by a first priority lien on substantially all assets of the Company and the Guarantors, subject to certain customary exceptions.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Credit Agreement contains customary negative covenants, which include, among other things, limitations on the ability of the Company and its consolidated subsidiaries to incur indebtedness, grant liens, engage in certain fundamental changes, make certain dispositions and investments, enter into sale and leaseback transactions, and make restricted payments and other distributions. The Credit Agreement contains certain financial covenants customary for a credit facility of this type, which include, among other things, a maximum first lien leverage ratio, a minimum fixed charge coverage ratio and a minimum tangible book value ratio. The Credit Agreement also contains affirmative covenants customary for a credit facility of its type, including customary reporting covenants.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Credit Agreement includes events of default related to, among other things, failure to pay amounts due under the Credit Agreement, breaches of representations, warranties or covenants, defaults under other material indebtedness, certain events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bankruptcy or insolvency, material judgment defaults and change of control, in each case, subject to customary cure periods where appropriate.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2025, the Company had an outstanding balance of $317.9 million, which is recorded within long-term debt on the unaudited condensed consolidated balance sheet, and the Company had letters of credit issued in the amount of $24.7 million, and $33.3 million of remaining capacity available under the Revolving Credit Facility. The Company is in compliance with all covenants.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Contractual Obligations, Commitments and Contingencies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normal course of business, we enter into certain lease contracts with lease terms through 2032. As of March 31, 2025, the total remaining contractual obligations are approximately $44.2 million, of which $9.3 million is for the next 12 months. In 2023, we entered into a purchase commitment with our third-party cloud computing web services provider, which included an annual purchase commitment of $8.5 million for the period from October 2023 through September 2025. As of March 31, 2025, the total remaining contractual obligations are approximately $2.4 million, all of which is for the next 12 months. We may pay more than the minimum purchase commitment based on usage.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March 31, 2025,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March 31, 2025, the unfunded maximum potential amount of undiscounted future payments the Company could be required to make under these guarantees totaled $60.3 million. Additionally, in accordance with the guarantee contracts, the Company is required to fund segregated cash balances to provide protection in the event the Company is not able to meet its contractual commitments. As of March 31, 2025, $39.8 million has been segregated and recognized within restricted cash in the unaudited condensed consolidated balance sheet in accordance with these contractual requirements.</w:t>
      </w:r>
    </w:p>
    <w:p>
      <w:pPr>
        <w:pStyle w:val="TextBody"/>
        <w:bidi w:val="0"/>
        <w:spacing w:lineRule="auto" w:line="288" w:before="24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a discussion of our long-term debt obligations and operating lease obligations as of March 31, 2025, see Note 4 and Note 7, respectively, to our unaudited condensed consolidated financial statements included elsewhere in this Quarterly Report.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6 to the unaudited condensed consolidated financial statements elsewhere included in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Our significant accounting policies and their effect on our financial condition and results of operations are more fully described in our audited consolidated financial statements included in our Annual Report on Form 10-K. Management has reassessed the critical accounting policies and estimates as disclosed in Note 2 to the audited Consolidated Financial Statements included in our Annual Report on Form 10-K and determined that there were no significant changes in our critical accounting policies and estimates during the three months ended March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exposed to market risks in the ordinary course of our business. Market risk represents the risk of loss that may impact our financial position due to adverse changes in market prices. Our market risk exposure primarily relates to fluctuations in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risk. We are exposed to market risk directly through investments in loans and securities held on our consolidated balance sheets and access to the securitization markets.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Credit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March 31, 2025 and December 31, 2024, we were exposed to credit risk on $760 million and $764 million, respectively, of investments in loans and securities held on our consolidated balance sheet, with $656 million and $659 million, respectively, representing net exposure exclusive of non-controlling interests. We have a portfolio risk monitoring that includes internal monitoring as well as competitor / market assessments, macro-economic trends, and associated stress testing. Loans and related risk retention securities are monitored throughout the entire lifecycle. This risk monitoring framework provides timely and actionable feedback on managing credit risk exposures.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For additional information, see </w:t>
      </w:r>
      <w:r>
        <w:rPr>
          <w:color w:val="000000"/>
        </w:rPr>
        <w:t>“</w:t>
      </w:r>
      <w:r>
        <w:rPr>
          <w:rFonts w:ascii="Times New Roman;sans-serif" w:hAnsi="Times New Roman;sans-serif"/>
          <w:b w:val="false"/>
          <w:i/>
          <w:color w:val="000000"/>
          <w:sz w:val="18"/>
        </w:rPr>
        <w:t>Item 2. Liquidity and Capital Resources”</w:t>
      </w:r>
      <w:r>
        <w:rPr>
          <w:color w:val="000000"/>
        </w:rPr>
        <w:t xml:space="preserve"> </w:t>
      </w:r>
      <w:r>
        <w:rPr>
          <w:rFonts w:ascii="Times New Roman;sans-serif" w:hAnsi="Times New Roman;sans-serif"/>
          <w:b w:val="false"/>
          <w:color w:val="000000"/>
          <w:sz w:val="18"/>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Foreign Exchange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Evaluation of Disclosure Controls and Procedures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March 31, 2025. Based upon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evaluation, our Chief Executive Officer and Chief Financial Officer concluded that, as of March 31, 2025, our disclosure controls and procedures were effective to accomplish their objectives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changes in our internal control over financial reporting (as such term is defined in Rules 13a-15(f) and 15d-15(f) under the Securities Exchange Act) that occurred during the quarter ended March 31,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Inherent Limitations on Effectiveness of Internal Control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Please refer to Note 8. “Commitments and Contingencies” of the accompanying notes to our unaudited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risks described under the heading “Risk Factors” in our Annual Report on Form 10-K for the year ended December 31, 2024 could materially and adversely affect our business, financial condition, results of operations, cash flows, future prospects, and the trading price of our Class A Ordinary Share. The risks and uncertainties described therein are not the only ones we face. Additional risks and uncertainties that we are unaware of or that we currently deem immaterial may also become important factors that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You should carefully read and consider such risks, together with all of the other information in our Annual Report on Form 10-K for the year ended December 31, 2024, in this Quarterly Report on Form 10-Q (including the disclosures in the section titled “Management’s Discussion and Analysis of Financial Condition and Results of Operations” and in our unaudited condensed consolidated financial statements and related notes), and in the other documents that we file with the SEC.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There have been no material changes from the risk factors previously disclosed under the heading “Risk Factors” in our Annual Report on Form 10-K for the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8"/>
        </w:rPr>
        <w:t xml:space="preserve">Item 2. </w:t>
      </w:r>
      <w:r>
        <w:rPr>
          <w:rFonts w:ascii="Times New Roman;sans-serif" w:hAnsi="Times New Roman;sans-serif"/>
          <w:b/>
          <w:color w:val="000000"/>
          <w:sz w:val="18"/>
          <w:shd w:fill="FFFFFF" w:val="clear"/>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18"/>
        </w:rPr>
      </w:pPr>
      <w:r>
        <w:rPr>
          <w:rFonts w:ascii="Times New Roman;sans-serif" w:hAnsi="Times New Roman;sans-serif"/>
          <w:b/>
          <w:color w:val="000000"/>
          <w:sz w:val="18"/>
        </w:rPr>
        <w:t>Company Trading Plans or Other Arrangements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Subject to compliance with U.S. and Israel securities laws, rules and regulations, our directors and executive officers have adopted, and may adopt, individual share trading plans in accordance with Rule 10b5-1 of the Securities Exchange Act of 1934, as amended (a “Rule 10b5-1 Plan”), in which they will contract with a broker to buy or sell our Class A Ordinary Shares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buy or sell additional shares outside of a Rule 10b5-1 Plan when they are not in possession of material, non-public information.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Director and Officer Trading Plans or other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March 31, 2025, Tami Rosen, a director and the Company’s Chief Development Officer, entered into a new 10b5-1 Plan on March 11, 2025, with an end date of September 30, 2025, to sell a maximum aggregate of 129,397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2727"/>
        <w:gridCol w:w="2626"/>
        <w:gridCol w:w="3747"/>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80"/>
                  <w:sz w:val="18"/>
                  <w:u w:val="single"/>
                </w:rPr>
                <w:t xml:space="preserve">Articles of Association of Pagaya Technologies Ltd., as amended and restated on </w:t>
              </w:r>
            </w:hyperlink>
            <w:hyperlink r:id="rId4">
              <w:r>
                <w:rPr>
                  <w:rStyle w:val="InternetLink"/>
                  <w:rFonts w:ascii="Times New Roman;sans-serif" w:hAnsi="Times New Roman;sans-serif"/>
                  <w:b w:val="false"/>
                  <w:color w:val="000080"/>
                  <w:sz w:val="18"/>
                  <w:u w:val="single"/>
                </w:rPr>
                <w:t>December</w:t>
              </w:r>
            </w:hyperlink>
            <w:hyperlink r:id="rId5">
              <w:r>
                <w:rPr>
                  <w:rStyle w:val="InternetLink"/>
                  <w:rFonts w:ascii="Times New Roman;sans-serif" w:hAnsi="Times New Roman;sans-serif"/>
                  <w:b w:val="false"/>
                  <w:color w:val="000080"/>
                  <w:sz w:val="18"/>
                  <w:u w:val="single"/>
                </w:rPr>
                <w:t xml:space="preserve"> 11, 2024 (incorporated by reference to Exhibit 3.1 of Pagaya Technologies Ltd. Current Report on Form 8-K filed with the SEC on December 12, 2024)</w:t>
              </w:r>
            </w:hyperlink>
          </w:p>
        </w:tc>
      </w:tr>
      <w:tr>
        <w:trPr/>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0" w:type="dxa"/>
            <w:gridSpan w:val="3"/>
            <w:tcBorders/>
            <w:vAlign w:val="center"/>
          </w:tcPr>
          <w:p>
            <w:pPr>
              <w:pStyle w:val="TableContents"/>
              <w:bidi w:val="0"/>
              <w:spacing w:before="0" w:after="283"/>
              <w:jc w:val="left"/>
              <w:rPr>
                <w:sz w:val="4"/>
                <w:szCs w:val="4"/>
              </w:rPr>
            </w:pPr>
            <w:r>
              <w:rPr>
                <w:sz w:val="4"/>
                <w:szCs w:val="4"/>
              </w:rPr>
            </w:r>
          </w:p>
        </w:tc>
      </w:tr>
      <w:tr>
        <w:trPr/>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0" w:type="dxa"/>
            <w:gridSpan w:val="3"/>
            <w:tcBorders/>
            <w:vAlign w:val="center"/>
          </w:tcPr>
          <w:p>
            <w:pPr>
              <w:pStyle w:val="TableContents"/>
              <w:bidi w:val="0"/>
              <w:spacing w:before="0" w:after="283"/>
              <w:jc w:val="left"/>
              <w:rPr>
                <w:sz w:val="4"/>
                <w:szCs w:val="4"/>
              </w:rPr>
            </w:pPr>
            <w:r>
              <w:rPr>
                <w:sz w:val="4"/>
                <w:szCs w:val="4"/>
              </w:rPr>
            </w:r>
          </w:p>
        </w:tc>
      </w:tr>
      <w:tr>
        <w:trPr/>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0" w:type="dxa"/>
            <w:gridSpan w:val="3"/>
            <w:tcBorders/>
            <w:vAlign w:val="center"/>
          </w:tcPr>
          <w:p>
            <w:pPr>
              <w:pStyle w:val="TableContents"/>
              <w:bidi w:val="0"/>
              <w:spacing w:before="0" w:after="283"/>
              <w:jc w:val="left"/>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amendmentno1-tro.htm">
              <w:r>
                <w:rPr>
                  <w:rStyle w:val="InternetLink"/>
                  <w:rFonts w:ascii="Times New Roman;sans-serif" w:hAnsi="Times New Roman;sans-serif"/>
                  <w:b w:val="false"/>
                  <w:color w:val="000080"/>
                  <w:sz w:val="18"/>
                  <w:u w:val="single"/>
                </w:rPr>
                <w:t>A</w:t>
              </w:r>
            </w:hyperlink>
            <w:hyperlink w:anchor="exhibit101amendmentno1-tro.htm">
              <w:r>
                <w:rPr>
                  <w:rStyle w:val="InternetLink"/>
                  <w:rFonts w:ascii="Times New Roman;sans-serif" w:hAnsi="Times New Roman;sans-serif"/>
                  <w:b w:val="false"/>
                  <w:color w:val="000080"/>
                  <w:sz w:val="18"/>
                  <w:u w:val="single"/>
                </w:rPr>
                <w:t>mendment No</w:t>
              </w:r>
            </w:hyperlink>
            <w:hyperlink w:anchor="exhibit101amendmentno1-tro.htm">
              <w:r>
                <w:rPr>
                  <w:rStyle w:val="InternetLink"/>
                  <w:rFonts w:ascii="Times New Roman;sans-serif" w:hAnsi="Times New Roman;sans-serif"/>
                  <w:b w:val="false"/>
                  <w:color w:val="000080"/>
                  <w:sz w:val="18"/>
                  <w:u w:val="single"/>
                </w:rPr>
                <w:t xml:space="preserve">. 1 to Executive Employment Agreement between Tami Rosen and Pagaya Technologies US </w:t>
              </w:r>
            </w:hyperlink>
            <w:hyperlink w:anchor="exhibit101amendmentno1-tro.htm">
              <w:r>
                <w:rPr>
                  <w:rStyle w:val="InternetLink"/>
                  <w:rFonts w:ascii="Times New Roman;sans-serif" w:hAnsi="Times New Roman;sans-serif"/>
                  <w:b w:val="false"/>
                  <w:color w:val="000080"/>
                  <w:sz w:val="18"/>
                  <w:u w:val="single"/>
                </w:rPr>
                <w:t>LLC</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n.htm">
              <w:r>
                <w:rPr>
                  <w:rStyle w:val="InternetLink"/>
                  <w:rFonts w:ascii="Times New Roman;sans-serif" w:hAnsi="Times New Roman;sans-serif"/>
                  <w:b w:val="false"/>
                  <w:color w:val="0000FF"/>
                  <w:sz w:val="18"/>
                  <w:u w:val="single"/>
                </w:rPr>
                <w:t>Certificate of Chief Executive Officer pursuant to Securities Exchange Act Rules 13a-14(a) and 15d-14(a) as adopted pursuant to §302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n.htm">
              <w:r>
                <w:rPr>
                  <w:rStyle w:val="InternetLink"/>
                  <w:rFonts w:ascii="Times New Roman;sans-serif" w:hAnsi="Times New Roman;sans-serif"/>
                  <w:b w:val="false"/>
                  <w:color w:val="0000FF"/>
                  <w:sz w:val="18"/>
                  <w:u w:val="single"/>
                </w:rPr>
                <w:t>Certificate of Chief Financial Officer pursuant to Securities Exchange Act Rules 13a-14(a) and 15d-14(a) as adopted pursuant to §302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n.htm">
              <w:r>
                <w:rPr>
                  <w:rStyle w:val="InternetLink"/>
                  <w:rFonts w:ascii="Times New Roman;sans-serif" w:hAnsi="Times New Roman;sans-serif"/>
                  <w:b w:val="false"/>
                  <w:color w:val="0000FF"/>
                  <w:sz w:val="18"/>
                  <w:u w:val="single"/>
                </w:rPr>
                <w:t>Certificate of Chief Executive Officer pursuant to 18 U.S.C. §1350, as adopted pursuant to §906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n.htm">
              <w:r>
                <w:rPr>
                  <w:rStyle w:val="InternetLink"/>
                  <w:rFonts w:ascii="Times New Roman;sans-serif" w:hAnsi="Times New Roman;sans-serif"/>
                  <w:b w:val="false"/>
                  <w:color w:val="0000FF"/>
                  <w:sz w:val="18"/>
                  <w:u w:val="single"/>
                </w:rPr>
                <w:t>Certificate of Chief Financial Officer pursuant to 18 U.S.C. §1350, as adopted pursuant to §906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 Filed herewith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Indicates a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9b25f14693bc46819c88b99ff93dfaea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tbl>
      <w:tblPr>
        <w:tblW w:w="4978" w:type="dxa"/>
        <w:jc w:val="left"/>
        <w:tblInd w:w="0" w:type="dxa"/>
        <w:tblLayout w:type="fixed"/>
        <w:tblCellMar>
          <w:top w:w="28" w:type="dxa"/>
          <w:left w:w="28" w:type="dxa"/>
          <w:bottom w:w="28" w:type="dxa"/>
          <w:right w:w="28" w:type="dxa"/>
        </w:tblCellMar>
      </w:tblPr>
      <w:tblGrid>
        <w:gridCol w:w="525"/>
        <w:gridCol w:w="463"/>
        <w:gridCol w:w="466"/>
        <w:gridCol w:w="189"/>
        <w:gridCol w:w="189"/>
        <w:gridCol w:w="191"/>
        <w:gridCol w:w="864"/>
        <w:gridCol w:w="864"/>
        <w:gridCol w:w="122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2025</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 Gal Krubiner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2025</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1"/>
        </w:rPr>
      </w:pPr>
      <w:r>
        <w:rPr>
          <w:rFonts w:ascii="Times New Roman;sans-serif" w:hAnsi="Times New Roman;sans-serif"/>
          <w:b/>
          <w:color w:val="000000"/>
          <w:sz w:val="21"/>
        </w:rPr>
        <w:t>AMENDMENT NO. 1 TO AMENDED AND RESTATED EXECUTIVE EMPLOYMENT AGREEMENT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1"/>
        </w:rPr>
        <w:t>This Amendment No. 1 to Amended and Restated Executive Employment Agreement, dated April 22, 2025 (the "</w:t>
      </w:r>
      <w:r>
        <w:rPr>
          <w:rFonts w:ascii="Times New Roman;sans-serif" w:hAnsi="Times New Roman;sans-serif"/>
          <w:b/>
          <w:color w:val="000000"/>
          <w:sz w:val="21"/>
        </w:rPr>
        <w:t>Amendment</w:t>
      </w:r>
      <w:r>
        <w:rPr>
          <w:rFonts w:ascii="Times New Roman;sans-serif" w:hAnsi="Times New Roman;sans-serif"/>
          <w:b w:val="false"/>
          <w:color w:val="000000"/>
          <w:sz w:val="21"/>
        </w:rPr>
        <w:t>"), between Pagaya Technologies US LLC, a Delaware limited liability company, located at 335 Madison Avenue, 16th Floor, New York, New York 10017 ("Company"), and Tami Rosen, an individual residing in the State of California ("</w:t>
      </w:r>
      <w:r>
        <w:rPr>
          <w:rFonts w:ascii="Times New Roman;sans-serif" w:hAnsi="Times New Roman;sans-serif"/>
          <w:b/>
          <w:color w:val="000000"/>
          <w:sz w:val="21"/>
        </w:rPr>
        <w:t>Executive</w:t>
      </w:r>
      <w:r>
        <w:rPr>
          <w:rFonts w:ascii="Times New Roman;sans-serif" w:hAnsi="Times New Roman;sans-serif"/>
          <w:b w:val="false"/>
          <w:color w:val="000000"/>
          <w:sz w:val="21"/>
        </w:rPr>
        <w:t>"), and together with Company, the "</w:t>
      </w:r>
      <w:r>
        <w:rPr>
          <w:rFonts w:ascii="Times New Roman;sans-serif" w:hAnsi="Times New Roman;sans-serif"/>
          <w:b/>
          <w:color w:val="000000"/>
          <w:sz w:val="21"/>
        </w:rPr>
        <w:t>Parties</w:t>
      </w:r>
      <w:r>
        <w:rPr>
          <w:rFonts w:ascii="Times New Roman;sans-serif" w:hAnsi="Times New Roman;sans-serif"/>
          <w:b w:val="false"/>
          <w:color w:val="000000"/>
          <w:sz w:val="21"/>
        </w:rPr>
        <w:t>", and each, a "</w:t>
      </w:r>
      <w:r>
        <w:rPr>
          <w:rFonts w:ascii="Times New Roman;sans-serif" w:hAnsi="Times New Roman;sans-serif"/>
          <w:b/>
          <w:color w:val="000000"/>
          <w:sz w:val="21"/>
        </w:rPr>
        <w:t>Party</w:t>
      </w:r>
      <w:r>
        <w:rPr>
          <w:rFonts w:ascii="Times New Roman;sans-serif" w:hAnsi="Times New Roman;sans-serif"/>
          <w:b w:val="false"/>
          <w:color w:val="000000"/>
          <w:sz w:val="21"/>
        </w:rPr>
        <w:t>").</w:t>
      </w:r>
    </w:p>
    <w:p>
      <w:pPr>
        <w:pStyle w:val="TextBody"/>
        <w:bidi w:val="0"/>
        <w:spacing w:lineRule="auto" w:line="288" w:before="0" w:after="120"/>
        <w:ind w:left="0" w:right="0" w:firstLine="720"/>
        <w:jc w:val="both"/>
        <w:rPr/>
      </w:pPr>
      <w:r>
        <w:rPr>
          <w:rFonts w:ascii="Times New Roman;sans-serif" w:hAnsi="Times New Roman;sans-serif"/>
          <w:b w:val="false"/>
          <w:color w:val="000000"/>
          <w:sz w:val="21"/>
        </w:rPr>
        <w:t>WHEREAS, the Parties have entered into Amended and Restated Executive Employment Agreement, dated NOVEMBER 12, 2024 (the "</w:t>
      </w:r>
      <w:r>
        <w:rPr>
          <w:rFonts w:ascii="Times New Roman;sans-serif" w:hAnsi="Times New Roman;sans-serif"/>
          <w:b/>
          <w:color w:val="000000"/>
          <w:sz w:val="21"/>
        </w:rPr>
        <w:t>Existing Agreement</w:t>
      </w:r>
      <w:r>
        <w:rPr>
          <w:rFonts w:ascii="Times New Roman;sans-serif" w:hAnsi="Times New Roman;sans-serif"/>
          <w:b w:val="false"/>
          <w:color w:val="000000"/>
          <w:sz w:val="21"/>
        </w:rPr>
        <w:t xml:space="preserve">"); </w:t>
      </w:r>
    </w:p>
    <w:p>
      <w:pPr>
        <w:pStyle w:val="TextBody"/>
        <w:bidi w:val="0"/>
        <w:spacing w:lineRule="auto" w:line="288"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WHEREAS, due to administrative oversight, the Existing Agreement characterizes the Executive as reporting to the Company’s New York office rather than her home office reflecting her status as a remote employee; </w:t>
      </w:r>
    </w:p>
    <w:p>
      <w:pPr>
        <w:pStyle w:val="TextBody"/>
        <w:bidi w:val="0"/>
        <w:spacing w:lineRule="auto" w:line="288"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WHEREAS, the Parties desire to amend the Existing Agreement to accurately reflect Executive's status as a remote employee on the terms and subject to the conditions set forth herein; and </w:t>
      </w:r>
    </w:p>
    <w:p>
      <w:pPr>
        <w:pStyle w:val="TextBody"/>
        <w:bidi w:val="0"/>
        <w:spacing w:lineRule="auto" w:line="288"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WHEREAS, pursuant to Section 9(e) of the Existing Agreement, the amendment contemplated by the Parties must be contained in a written agreement signed by each Party.</w:t>
      </w:r>
    </w:p>
    <w:p>
      <w:pPr>
        <w:pStyle w:val="TextBody"/>
        <w:bidi w:val="0"/>
        <w:spacing w:lineRule="auto" w:line="288"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NOW, THEREFORE, in consideration of the foregoing and other good and valuable consideration, the receipt and sufficiency of which are hereby acknowledged, the Parties agree as follows:</w:t>
      </w:r>
    </w:p>
    <w:p>
      <w:pPr>
        <w:pStyle w:val="TextBody"/>
        <w:bidi w:val="0"/>
        <w:spacing w:lineRule="auto" w:line="240" w:before="0" w:after="120"/>
        <w:ind w:left="0" w:right="0" w:firstLine="720"/>
        <w:jc w:val="both"/>
        <w:rPr/>
      </w:pPr>
      <w:r>
        <w:rPr>
          <w:rFonts w:ascii="Times New Roman;sans-serif" w:hAnsi="Times New Roman;sans-serif"/>
          <w:b w:val="false"/>
          <w:color w:val="000000"/>
          <w:sz w:val="21"/>
        </w:rPr>
        <w:t>1.</w:t>
      </w:r>
      <w:r>
        <w:rPr>
          <w:rFonts w:ascii="Times New Roman;sans-serif" w:hAnsi="Times New Roman;sans-serif"/>
          <w:b w:val="false"/>
          <w:color w:val="000000"/>
          <w:sz w:val="21"/>
          <w:u w:val="single"/>
          <w:shd w:fill="FFFFFF" w:val="clear"/>
        </w:rPr>
        <w:t>Definitions</w:t>
      </w:r>
      <w:r>
        <w:rPr>
          <w:rFonts w:ascii="Times New Roman;sans-serif" w:hAnsi="Times New Roman;sans-serif"/>
          <w:b w:val="false"/>
          <w:color w:val="000000"/>
          <w:sz w:val="21"/>
        </w:rPr>
        <w:t>. Capitalized terms used and not defined in this Amendment have the respective meanings assigned to them in the Existing Agreement.</w:t>
      </w:r>
    </w:p>
    <w:p>
      <w:pPr>
        <w:pStyle w:val="TextBody"/>
        <w:bidi w:val="0"/>
        <w:spacing w:lineRule="auto" w:line="240" w:before="0" w:after="120"/>
        <w:ind w:left="0" w:right="0" w:firstLine="720"/>
        <w:jc w:val="both"/>
        <w:rPr/>
      </w:pPr>
      <w:r>
        <w:rPr>
          <w:rFonts w:ascii="Times New Roman;sans-serif" w:hAnsi="Times New Roman;sans-serif"/>
          <w:b w:val="false"/>
          <w:color w:val="000000"/>
          <w:sz w:val="21"/>
        </w:rPr>
        <w:t>2.</w:t>
      </w:r>
      <w:r>
        <w:rPr>
          <w:rFonts w:ascii="Times New Roman;sans-serif" w:hAnsi="Times New Roman;sans-serif"/>
          <w:b w:val="false"/>
          <w:color w:val="000000"/>
          <w:sz w:val="21"/>
          <w:u w:val="single"/>
          <w:shd w:fill="FFFFFF" w:val="clear"/>
        </w:rPr>
        <w:t>Amendments to the Existing Agreement</w:t>
      </w:r>
      <w:r>
        <w:rPr>
          <w:rFonts w:ascii="Times New Roman;sans-serif" w:hAnsi="Times New Roman;sans-serif"/>
          <w:b w:val="false"/>
          <w:color w:val="000000"/>
          <w:sz w:val="21"/>
        </w:rPr>
        <w:t>. As of the Effective Date (defined below), the Existing Agreement is hereby amended or modified as follows: Section 2(c) of the Existing Agreement is hereby amended by deleting the words "Company's New York office" from first sentence of such Section and substituting in lieu thereof the words "Executive's home office."</w:t>
      </w:r>
    </w:p>
    <w:p>
      <w:pPr>
        <w:pStyle w:val="TextBody"/>
        <w:bidi w:val="0"/>
        <w:spacing w:lineRule="auto" w:line="240" w:before="0" w:after="120"/>
        <w:ind w:left="0" w:right="0" w:firstLine="720"/>
        <w:jc w:val="both"/>
        <w:rPr/>
      </w:pPr>
      <w:r>
        <w:rPr>
          <w:rFonts w:ascii="Times New Roman;sans-serif" w:hAnsi="Times New Roman;sans-serif"/>
          <w:b w:val="false"/>
          <w:color w:val="000000"/>
          <w:sz w:val="21"/>
        </w:rPr>
        <w:t>3.</w:t>
      </w:r>
      <w:r>
        <w:rPr>
          <w:rFonts w:ascii="Times New Roman;sans-serif" w:hAnsi="Times New Roman;sans-serif"/>
          <w:b w:val="false"/>
          <w:color w:val="000000"/>
          <w:sz w:val="21"/>
          <w:u w:val="single"/>
          <w:shd w:fill="FFFFFF" w:val="clear"/>
        </w:rPr>
        <w:t>Date of Effectiveness; Limited Effect</w:t>
      </w:r>
      <w:r>
        <w:rPr>
          <w:rFonts w:ascii="Times New Roman;sans-serif" w:hAnsi="Times New Roman;sans-serif"/>
          <w:b w:val="false"/>
          <w:color w:val="000000"/>
          <w:sz w:val="21"/>
        </w:rPr>
        <w:t>. This Amendment will become effective on the date on which Executive was first employed by the Company (the "</w:t>
      </w:r>
      <w:r>
        <w:rPr>
          <w:rFonts w:ascii="Times New Roman;sans-serif" w:hAnsi="Times New Roman;sans-serif"/>
          <w:b/>
          <w:color w:val="000000"/>
          <w:sz w:val="21"/>
        </w:rPr>
        <w:t>Effective Date</w:t>
      </w:r>
      <w:r>
        <w:rPr>
          <w:rFonts w:ascii="Times New Roman;sans-serif" w:hAnsi="Times New Roman;sans-serif"/>
          <w:b w:val="false"/>
          <w:color w:val="000000"/>
          <w:sz w:val="21"/>
        </w:rPr>
        <w:t>").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Effective Date, each reference in the Existing Agreement to "this Agreement," "the Agreement," "hereunder," "hereof," "herein," or words of like import will mean and be a reference to the Existing Agreement as amended by this Amendment.</w:t>
      </w:r>
    </w:p>
    <w:p>
      <w:pPr>
        <w:pStyle w:val="TextBody"/>
        <w:bidi w:val="0"/>
        <w:spacing w:lineRule="auto" w:line="240" w:before="0" w:after="120"/>
        <w:ind w:left="0" w:right="0" w:firstLine="720"/>
        <w:jc w:val="both"/>
        <w:rPr/>
      </w:pPr>
      <w:r>
        <w:rPr>
          <w:rFonts w:ascii="Times New Roman;sans-serif" w:hAnsi="Times New Roman;sans-serif"/>
          <w:b w:val="false"/>
          <w:color w:val="000000"/>
          <w:sz w:val="21"/>
        </w:rPr>
        <w:t>4.</w:t>
      </w:r>
      <w:r>
        <w:rPr>
          <w:rFonts w:ascii="Times New Roman;sans-serif" w:hAnsi="Times New Roman;sans-serif"/>
          <w:b w:val="false"/>
          <w:color w:val="000000"/>
          <w:sz w:val="21"/>
          <w:u w:val="single"/>
          <w:shd w:fill="FFFFFF" w:val="clear"/>
        </w:rPr>
        <w:t>Miscellaneous</w:t>
      </w:r>
      <w:r>
        <w:rPr>
          <w:rFonts w:ascii="Times New Roman;sans-serif" w:hAnsi="Times New Roman;sans-serif"/>
          <w:b w:val="false"/>
          <w:color w:val="000000"/>
          <w:sz w:val="21"/>
        </w:rPr>
        <w:t>.</w:t>
      </w:r>
    </w:p>
    <w:p>
      <w:pPr>
        <w:pStyle w:val="TextBody"/>
        <w:bidi w:val="0"/>
        <w:spacing w:lineRule="auto" w:line="240"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(a)This Amendment is governed by and construed in accordance with, the laws of the State of California without regard to the conflict of laws provisions of such State.</w:t>
      </w:r>
    </w:p>
    <w:p>
      <w:pPr>
        <w:pStyle w:val="TextBody"/>
        <w:bidi w:val="0"/>
        <w:spacing w:lineRule="auto" w:line="240"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(b)This Amendment shall inure to the benefit of and be binding upon each of the Parties and each of their respective successors and assigns.</w:t>
      </w:r>
    </w:p>
    <w:p>
      <w:pPr>
        <w:pStyle w:val="TextBody"/>
        <w:bidi w:val="0"/>
        <w:spacing w:lineRule="auto" w:line="240"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(c)The headings in this Amendment are for reference only and do not affect the interpretation of this Amendment.</w:t>
      </w:r>
    </w:p>
    <w:p>
      <w:pPr>
        <w:pStyle w:val="TextBody"/>
        <w:bidi w:val="0"/>
        <w:spacing w:lineRule="auto" w:line="240"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(d)This Amendment may be executed in counterparts, each of which is deemed an original, but all of which constitute one and the same agreement. Delivery of an executed counterpart of this Amendment electronically shall be effective as delivery of an original executed counterpart of this Amendment.</w:t>
      </w:r>
    </w:p>
    <w:p>
      <w:pPr>
        <w:pStyle w:val="TextBody"/>
        <w:bidi w:val="0"/>
        <w:spacing w:lineRule="auto" w:line="240" w:before="0" w:after="12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(e)This Amendment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pStyle w:val="TextBody"/>
        <w:bidi w:val="0"/>
        <w:spacing w:before="0" w:after="120"/>
        <w:jc w:val="left"/>
        <w:rPr/>
      </w:pPr>
      <w:r>
        <w:rPr/>
      </w:r>
    </w:p>
    <w:p>
      <w:pPr>
        <w:pStyle w:val="TextBody"/>
        <w:bidi w:val="0"/>
        <w:spacing w:lineRule="auto" w:line="288" w:before="0" w:after="120"/>
        <w:jc w:val="center"/>
        <w:rPr>
          <w:rFonts w:ascii="Times New Roman;sans-serif" w:hAnsi="Times New Roman;sans-serif"/>
          <w:b w:val="false"/>
          <w:i/>
          <w:color w:val="000000"/>
          <w:sz w:val="21"/>
        </w:rPr>
      </w:pPr>
      <w:r>
        <w:rPr>
          <w:rFonts w:ascii="Times New Roman;sans-serif" w:hAnsi="Times New Roman;sans-serif"/>
          <w:b w:val="false"/>
          <w:i/>
          <w:color w:val="000000"/>
          <w:sz w:val="21"/>
        </w:rPr>
        <w:t>[signature page follows]</w:t>
      </w:r>
    </w:p>
    <w:p>
      <w:pPr>
        <w:pStyle w:val="TextBody"/>
        <w:bidi w:val="0"/>
        <w:spacing w:lineRule="auto" w:line="288" w:before="0" w:after="120"/>
        <w:jc w:val="left"/>
        <w:rPr>
          <w:rFonts w:ascii="Times New Roman;sans-serif" w:hAnsi="Times New Roman;sans-serif"/>
          <w:b w:val="false"/>
          <w:color w:val="000000"/>
          <w:sz w:val="21"/>
        </w:rPr>
      </w:pPr>
      <w:r>
        <w:rPr>
          <w:rFonts w:ascii="Times New Roman;sans-serif" w:hAnsi="Times New Roman;sans-serif"/>
          <w:b w:val="false"/>
          <w:color w:val="000000"/>
          <w:sz w:val="21"/>
        </w:rPr>
        <w:t>IN WITNESS WHEREOF, the Parties have executed this Amendment on the date first written above.</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94995"/>
                <wp:effectExtent l="0" t="0" r="0" b="0"/>
                <wp:wrapNone/>
                <wp:docPr id="53" name="Frame5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4242" w:type="dxa"/>
        <w:jc w:val="left"/>
        <w:tblInd w:w="0" w:type="dxa"/>
        <w:tblLayout w:type="fixed"/>
        <w:tblCellMar>
          <w:top w:w="28" w:type="dxa"/>
          <w:left w:w="28" w:type="dxa"/>
          <w:bottom w:w="28" w:type="dxa"/>
          <w:right w:w="28" w:type="dxa"/>
        </w:tblCellMar>
      </w:tblPr>
      <w:tblGrid>
        <w:gridCol w:w="124"/>
        <w:gridCol w:w="109"/>
        <w:gridCol w:w="109"/>
        <w:gridCol w:w="1141"/>
        <w:gridCol w:w="1141"/>
        <w:gridCol w:w="16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PAGAYA TECHNOLOGIES US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ans-serif" w:hAnsi="Times New Roman;sans-serif"/>
                <w:b w:val="false"/>
                <w:color w:val="000000"/>
                <w:sz w:val="21"/>
              </w:rPr>
              <w:t>By__</w:t>
            </w:r>
            <w:r>
              <w:rPr>
                <w:rFonts w:ascii="Times New Roman;sans-serif" w:hAnsi="Times New Roman;sans-serif"/>
                <w:b w:val="false"/>
                <w:color w:val="000000"/>
                <w:sz w:val="21"/>
                <w:u w:val="single"/>
              </w:rPr>
              <w:t>/s/ Eric Watson</w:t>
            </w:r>
            <w:r>
              <w:rPr>
                <w:rFonts w:ascii="Times New Roman;sans-serif" w:hAnsi="Times New Roman;sans-serif"/>
                <w:b w:val="false"/>
                <w:color w:val="000000"/>
                <w:sz w:val="21"/>
              </w:rPr>
              <w:t>___________________</w:t>
            </w:r>
          </w:p>
          <w:p>
            <w:pPr>
              <w:pStyle w:val="TableContents"/>
              <w:bidi w:val="0"/>
              <w:spacing w:lineRule="auto" w:line="288" w:before="0" w:after="120"/>
              <w:jc w:val="left"/>
              <w:rPr>
                <w:rFonts w:ascii="Times New Roman;sans-serif" w:hAnsi="Times New Roman;sans-serif"/>
                <w:b w:val="false"/>
                <w:color w:val="000000"/>
                <w:sz w:val="21"/>
              </w:rPr>
            </w:pPr>
            <w:r>
              <w:rPr>
                <w:rFonts w:ascii="Times New Roman;sans-serif" w:hAnsi="Times New Roman;sans-serif"/>
                <w:b w:val="false"/>
                <w:color w:val="000000"/>
                <w:sz w:val="21"/>
              </w:rPr>
              <w:t>Name: Eric Watson</w:t>
            </w:r>
          </w:p>
          <w:p>
            <w:pPr>
              <w:pStyle w:val="TableContents"/>
              <w:bidi w:val="0"/>
              <w:spacing w:lineRule="auto" w:line="288" w:before="0" w:after="120"/>
              <w:jc w:val="left"/>
              <w:rPr>
                <w:rFonts w:ascii="Times New Roman;sans-serif" w:hAnsi="Times New Roman;sans-serif"/>
                <w:b w:val="false"/>
                <w:color w:val="000000"/>
                <w:sz w:val="21"/>
              </w:rPr>
            </w:pPr>
            <w:r>
              <w:rPr>
                <w:rFonts w:ascii="Times New Roman;sans-serif" w:hAnsi="Times New Roman;sans-serif"/>
                <w:b w:val="false"/>
                <w:color w:val="000000"/>
                <w:sz w:val="21"/>
              </w:rPr>
              <w:t>Title: Chief Legal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TAMI ROSEN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ans-serif" w:hAnsi="Times New Roman;sans-serif"/>
                <w:b w:val="false"/>
                <w:color w:val="000000"/>
                <w:sz w:val="21"/>
              </w:rPr>
              <w:t>By__</w:t>
            </w:r>
            <w:r>
              <w:rPr>
                <w:rFonts w:ascii="Times New Roman;sans-serif" w:hAnsi="Times New Roman;sans-serif"/>
                <w:b w:val="false"/>
                <w:color w:val="000000"/>
                <w:sz w:val="21"/>
                <w:u w:val="single"/>
              </w:rPr>
              <w:t>/s/ Tami Rosen</w:t>
            </w:r>
            <w:r>
              <w:rPr>
                <w:rFonts w:ascii="Times New Roman;sans-serif" w:hAnsi="Times New Roman;sans-serif"/>
                <w:b w:val="false"/>
                <w:color w:val="000000"/>
                <w:sz w:val="21"/>
              </w:rPr>
              <w:t>___________________</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94995"/>
                <wp:effectExtent l="0" t="0" r="0" b="0"/>
                <wp:wrapNone/>
                <wp:docPr id="54" name="Frame5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2    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Gal Krubiner, certify that: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Evangelos Perros, certify that: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2"/>
        <w:gridCol w:w="522"/>
        <w:gridCol w:w="740"/>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Evangelos Perros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Company’s quarterly report on Form 10-Q for the quarter ended March 31, 2025, to which this Certification is attached as Exhibit 32.1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Chief Executive Officer </w:t>
            </w:r>
          </w:p>
        </w:tc>
      </w:tr>
    </w:tbl>
    <w:p>
      <w:pPr>
        <w:pStyle w:val="TextBody"/>
        <w:bidi w:val="0"/>
        <w:spacing w:lineRule="auto" w:line="288"/>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Company’s quarterly report on Form 10-Q for the quarter ended March 31, 2025, to which this Certification is attached as Exhibit 32.2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Report fairly presents, in all material respects, the financial condition and results of operations of the Company.</w:t>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1"/>
        <w:gridCol w:w="521"/>
        <w:gridCol w:w="74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2025</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spacing w:lineRule="auto" w:line="288"/>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3085/000188308524000202/thirdamendedarticlesofas.htm" TargetMode="External"/><Relationship Id="rId4" Type="http://schemas.openxmlformats.org/officeDocument/2006/relationships/hyperlink" Target="https://www.sec.gov/Archives/edgar/data/1883085/000188308524000202/thirdamendedarticlesofas.htm" TargetMode="External"/><Relationship Id="rId5" Type="http://schemas.openxmlformats.org/officeDocument/2006/relationships/hyperlink" Target="https://www.sec.gov/Archives/edgar/data/1883085/000188308524000202/thirdamendedarticlesofas.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26916</Words>
  <Characters>151084</Characters>
  <CharactersWithSpaces>176420</CharactersWithSpaces>
  <Paragraphs>2876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