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40"/>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29"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9"/>
          <w:szCs w:val="19"/>
          <w:b w:val="1"/>
          <w:bCs w:val="1"/>
          <w:color w:val="auto"/>
        </w:rPr>
        <w:t>SECURITIES AND EXCHANGE COMMISSION</w:t>
      </w:r>
    </w:p>
    <w:p>
      <w:pPr>
        <w:spacing w:after="0" w:line="18"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76" w:lineRule="exact"/>
        <w:rPr>
          <w:sz w:val="24"/>
          <w:szCs w:val="24"/>
          <w:color w:val="auto"/>
        </w:rPr>
      </w:pPr>
    </w:p>
    <w:p>
      <w:pPr>
        <w:ind w:left="5160"/>
        <w:spacing w:after="0"/>
        <w:rPr>
          <w:sz w:val="20"/>
          <w:szCs w:val="20"/>
          <w:color w:val="auto"/>
        </w:rPr>
      </w:pPr>
      <w:r>
        <w:rPr>
          <w:rFonts w:ascii="Times New Roman" w:cs="Times New Roman" w:eastAsia="Times New Roman" w:hAnsi="Times New Roman"/>
          <w:sz w:val="20"/>
          <w:szCs w:val="20"/>
          <w:b w:val="1"/>
          <w:bCs w:val="1"/>
          <w:color w:val="auto"/>
        </w:rPr>
        <w:t>FORM 6-K</w:t>
      </w:r>
    </w:p>
    <w:p>
      <w:pPr>
        <w:spacing w:after="0" w:line="210"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REPORT OF FOREIGN PRIVATE ISSUER</w:t>
      </w:r>
    </w:p>
    <w:p>
      <w:pPr>
        <w:spacing w:after="0" w:line="25"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PURSUANT TO SECTION 13A-16 OR 15D-16</w:t>
      </w:r>
    </w:p>
    <w:p>
      <w:pPr>
        <w:spacing w:after="0" w:line="9"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UNDER THE SECURITIES EXCHANGE ACT OF 1934</w:t>
      </w:r>
    </w:p>
    <w:p>
      <w:pPr>
        <w:spacing w:after="0" w:line="183"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For the month of February 2024</w:t>
      </w:r>
    </w:p>
    <w:p>
      <w:pPr>
        <w:spacing w:after="0" w:line="200"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Commission File Number: 001-41430</w:t>
      </w:r>
    </w:p>
    <w:p>
      <w:pPr>
        <w:spacing w:after="0" w:line="184"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31"/>
          <w:szCs w:val="31"/>
          <w:b w:val="1"/>
          <w:bCs w:val="1"/>
          <w:color w:val="auto"/>
        </w:rPr>
        <w:t>Pagaya Technologies Ltd.</w:t>
      </w:r>
    </w:p>
    <w:p>
      <w:pPr>
        <w:spacing w:after="0" w:line="49"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171"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90 Park Ave, 20th Floor</w:t>
      </w:r>
    </w:p>
    <w:p>
      <w:pPr>
        <w:spacing w:after="0" w:line="14"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New York, NY 10016</w:t>
      </w: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(646) 710-7714</w:t>
      </w:r>
    </w:p>
    <w:p>
      <w:pPr>
        <w:spacing w:after="0" w:line="7"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18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whether the registrant files or will file annual reports under cover of Form 20-F or Form 40-F.</w:t>
      </w:r>
    </w:p>
    <w:p>
      <w:pPr>
        <w:spacing w:after="0" w:line="23" w:lineRule="exact"/>
        <w:rPr>
          <w:sz w:val="24"/>
          <w:szCs w:val="24"/>
          <w:color w:val="auto"/>
        </w:rPr>
      </w:pPr>
    </w:p>
    <w:p>
      <w:pPr>
        <w:ind w:left="4860"/>
        <w:spacing w:after="0" w:line="161" w:lineRule="exact"/>
        <w:rPr>
          <w:sz w:val="20"/>
          <w:szCs w:val="20"/>
          <w:color w:val="auto"/>
        </w:rPr>
      </w:pPr>
      <w:r>
        <w:rPr>
          <w:rFonts w:ascii="Times New Roman" w:cs="Times New Roman" w:eastAsia="Times New Roman" w:hAnsi="Times New Roman"/>
          <w:sz w:val="14"/>
          <w:szCs w:val="14"/>
          <w:color w:val="auto"/>
        </w:rPr>
        <w:t xml:space="preserve">Form 20-F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Form 40-F </w:t>
      </w:r>
      <w:r>
        <w:rPr>
          <w:rFonts w:ascii="MS PGothic" w:cs="MS PGothic" w:eastAsia="MS PGothic" w:hAnsi="MS PGothic"/>
          <w:sz w:val="14"/>
          <w:szCs w:val="14"/>
          <w:color w:val="auto"/>
        </w:rPr>
        <w:t>☐</w:t>
      </w:r>
    </w:p>
    <w:p>
      <w:pPr>
        <w:spacing w:after="0" w:line="154"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submitting the Form 6-K in paper as permitted by Regulation S-T Rule 101(b)(1): </w:t>
      </w:r>
      <w:r>
        <w:rPr>
          <w:rFonts w:ascii="MS PGothic" w:cs="MS PGothic" w:eastAsia="MS PGothic" w:hAnsi="MS PGothic"/>
          <w:sz w:val="14"/>
          <w:szCs w:val="14"/>
          <w:color w:val="auto"/>
        </w:rPr>
        <w:t>☐</w:t>
      </w:r>
    </w:p>
    <w:p>
      <w:pPr>
        <w:spacing w:after="0" w:line="200"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submitting the Form 6-K in paper as permitted by Regulation S-T Rule 101(b)(7): </w:t>
      </w:r>
      <w:r>
        <w:rPr>
          <w:rFonts w:ascii="MS PGothic" w:cs="MS PGothic" w:eastAsia="MS PGothic" w:hAnsi="MS PGothic"/>
          <w:sz w:val="14"/>
          <w:szCs w:val="14"/>
          <w:color w:val="auto"/>
        </w:rPr>
        <w:t>☐</w:t>
      </w:r>
    </w:p>
    <w:p>
      <w:pPr>
        <w:sectPr>
          <w:pgSz w:w="11900" w:h="16838" w:orient="portrait"/>
          <w:cols w:equalWidth="0" w:num="1">
            <w:col w:w="10159"/>
          </w:cols>
          <w:pgMar w:left="300" w:top="1221"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4"/>
          <w:szCs w:val="14"/>
          <w:b w:val="1"/>
          <w:bCs w:val="1"/>
          <w:color w:val="auto"/>
        </w:rPr>
        <w:t>CONTENTS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On February 21, 2024, Pagaya Technologies Ltd. (“Pagaya”) issued a press release titled “Pagaya Reports Fourth Quarter and Full Year 2023 Results,” in which Pagaya reported its unaudited financial results for the quarter and fiscal year ended December 31, 2023 (the “unaudited financial results”) and a Shareholder Letter. Copies of the press release and Shareholder Letter are furnished as Exhibit 99.1 and Exhibit 99.2, respectively, to this Report of Foreign Private Issuer on Form 6-K (the “Report”) and shall not be deemed to “filed” for purposes of Section 18 of the Securities Exchange Act of 1934, as amended (the “Exchange Act”), or otherwise subject to the liabilities of that section, nor shall such information be deemed incorporated by reference into any filing made by Pagaya under the Securities Act of 1933, as amended, or the Exchange Act, except as may be expressly set forth by specific reference in such filing.</w:t>
      </w:r>
    </w:p>
    <w:p>
      <w:pPr>
        <w:spacing w:after="0" w:line="16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This Report and exhibits contain forward-looking statements within the meaning of the Private Securities Litigation Reform Act of 1995. Words such as “may,” “will,” “expect,” “plan,” “anticipate,” “estimate,” “intend” and similar expressions (as well as other words or expressions referencing future events, conditions or circumstances) are intended to identify forward-looking statements. These forward-looking statements are based on Pagaya’s expectations and assumptions as of the date of this Report. Each of these forward-looking statements involves risks and uncertainties. Actual results may differ materially from those expressed or implied by these forward-looking statements. For a discussion of risk factors that may cause Pagaya’s actual results to differ from those expressed or implied in the forward-looking statements in this Report, you should refer to Pagaya’s filings with the U.S. Securities and Exchange Commission, including Pagaya’s most recent Form 20-F, particularly the section entitled “Risk Factors”. Except as required by law, Pagaya undertakes no obligation to publicly update any forward-looking statements, whether as a result of new information, future events or otherwise, except as required by law. You should, therefore, not rely on these forward-looking statements as representing Pagaya’s views as of any date subsequent to the date of this Report.</w:t>
      </w:r>
    </w:p>
    <w:p>
      <w:pPr>
        <w:spacing w:after="0" w:line="348"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0" w:type="dxa"/>
            <w:vAlign w:val="bottom"/>
          </w:tcPr>
          <w:p>
            <w:pPr>
              <w:ind w:left="3640"/>
              <w:spacing w:after="0"/>
              <w:rPr>
                <w:sz w:val="20"/>
                <w:szCs w:val="20"/>
                <w:color w:val="auto"/>
              </w:rPr>
            </w:pPr>
            <w:r>
              <w:rPr>
                <w:rFonts w:ascii="Times New Roman" w:cs="Times New Roman" w:eastAsia="Times New Roman" w:hAnsi="Times New Roman"/>
                <w:sz w:val="14"/>
                <w:szCs w:val="14"/>
                <w:b w:val="1"/>
                <w:bCs w:val="1"/>
                <w:color w:val="auto"/>
              </w:rPr>
              <w:t>EXHIBIT INDEX</w:t>
            </w:r>
          </w:p>
        </w:tc>
      </w:tr>
      <w:tr>
        <w:trPr>
          <w:trHeight w:val="393"/>
        </w:trPr>
        <w:tc>
          <w:tcPr>
            <w:tcW w:w="20" w:type="dxa"/>
            <w:vAlign w:val="bottom"/>
          </w:tcPr>
          <w:p>
            <w:pPr>
              <w:spacing w:after="0"/>
              <w:rPr>
                <w:sz w:val="24"/>
                <w:szCs w:val="24"/>
                <w:color w:val="auto"/>
              </w:rPr>
            </w:pPr>
          </w:p>
        </w:tc>
        <w:tc>
          <w:tcPr>
            <w:tcW w:w="14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9800" w:type="dxa"/>
            <w:vAlign w:val="bottom"/>
          </w:tcPr>
          <w:p>
            <w:pPr>
              <w:ind w:left="456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183"/>
        </w:trPr>
        <w:tc>
          <w:tcPr>
            <w:tcW w:w="20" w:type="dxa"/>
            <w:vAlign w:val="bottom"/>
            <w:tcBorders>
              <w:top w:val="single" w:sz="8" w:color="auto"/>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0000FF"/>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0000FF"/>
                <w:w w:val="89"/>
              </w:rPr>
              <w:t>99.</w:t>
            </w:r>
            <w:r>
              <w:rPr>
                <w:rFonts w:ascii="Times New Roman" w:cs="Times New Roman" w:eastAsia="Times New Roman" w:hAnsi="Times New Roman"/>
                <w:sz w:val="14"/>
                <w:szCs w:val="14"/>
                <w:u w:val="single" w:color="auto"/>
                <w:color w:val="0000FF"/>
                <w:w w:val="89"/>
              </w:rPr>
              <w:t>1</w:t>
            </w:r>
          </w:p>
        </w:tc>
        <w:tc>
          <w:tcPr>
            <w:tcW w:w="110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9800" w:type="dxa"/>
            <w:vAlign w:val="bottom"/>
            <w:tcBorders>
              <w:top w:val="single" w:sz="8" w:color="auto"/>
              <w:bottom w:val="single" w:sz="8" w:color="CCEEFF"/>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color w:val="auto"/>
              </w:rPr>
              <w:t>Press release, dated February 21, 2024, titled “Pagaya Reports Fourth Quarter and Full Year 2023 Results”</w:t>
            </w:r>
          </w:p>
        </w:tc>
      </w:tr>
      <w:tr>
        <w:trPr>
          <w:trHeight w:val="149"/>
        </w:trPr>
        <w:tc>
          <w:tcPr>
            <w:tcW w:w="20" w:type="dxa"/>
            <w:vAlign w:val="bottom"/>
          </w:tcPr>
          <w:p>
            <w:pPr>
              <w:spacing w:after="0"/>
              <w:rPr>
                <w:sz w:val="12"/>
                <w:szCs w:val="12"/>
                <w:color w:val="auto"/>
              </w:rPr>
            </w:pPr>
          </w:p>
        </w:tc>
        <w:tc>
          <w:tcPr>
            <w:tcW w:w="240" w:type="dxa"/>
            <w:vAlign w:val="bottom"/>
            <w:tcBorders>
              <w:bottom w:val="single" w:sz="8" w:color="0000FF"/>
            </w:tcBorders>
          </w:tcPr>
          <w:p>
            <w:pPr>
              <w:spacing w:after="0" w:line="149" w:lineRule="exact"/>
              <w:rPr>
                <w:sz w:val="20"/>
                <w:szCs w:val="20"/>
                <w:color w:val="auto"/>
              </w:rPr>
            </w:pPr>
            <w:r>
              <w:rPr>
                <w:rFonts w:ascii="Times New Roman" w:cs="Times New Roman" w:eastAsia="Times New Roman" w:hAnsi="Times New Roman"/>
                <w:sz w:val="14"/>
                <w:szCs w:val="14"/>
                <w:color w:val="0000FF"/>
                <w:w w:val="89"/>
              </w:rPr>
              <w:t>99.</w:t>
            </w:r>
            <w:r>
              <w:rPr>
                <w:rFonts w:ascii="Times New Roman" w:cs="Times New Roman" w:eastAsia="Times New Roman" w:hAnsi="Times New Roman"/>
                <w:sz w:val="14"/>
                <w:szCs w:val="14"/>
                <w:u w:val="single" w:color="auto"/>
                <w:color w:val="0000FF"/>
                <w:w w:val="89"/>
              </w:rPr>
              <w:t>2</w:t>
            </w: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Shareholder Letter, dated February 21, 2024</w:t>
            </w:r>
          </w:p>
        </w:tc>
      </w:tr>
    </w:tbl>
    <w:p>
      <w:pPr>
        <w:sectPr>
          <w:pgSz w:w="11900" w:h="16838" w:orient="portrait"/>
          <w:cols w:equalWidth="0" w:num="1">
            <w:col w:w="11280"/>
          </w:cols>
          <w:pgMar w:left="300" w:top="1141" w:right="3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thereunto duly authorized.</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350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4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PAGAYA TECHNOLOGIES LTD.</w:t>
            </w:r>
          </w:p>
        </w:tc>
      </w:tr>
      <w:tr>
        <w:trPr>
          <w:trHeight w:val="297"/>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Date: February 21, 2024</w:t>
            </w:r>
          </w:p>
        </w:tc>
        <w:tc>
          <w:tcPr>
            <w:tcW w:w="2960" w:type="dxa"/>
            <w:vAlign w:val="bottom"/>
          </w:tcPr>
          <w:p>
            <w:pPr>
              <w:ind w:left="2120"/>
              <w:spacing w:after="0"/>
              <w:rPr>
                <w:sz w:val="20"/>
                <w:szCs w:val="20"/>
                <w:color w:val="auto"/>
              </w:rPr>
            </w:pPr>
            <w:r>
              <w:rPr>
                <w:rFonts w:ascii="Times New Roman" w:cs="Times New Roman" w:eastAsia="Times New Roman" w:hAnsi="Times New Roman"/>
                <w:sz w:val="14"/>
                <w:szCs w:val="14"/>
                <w:color w:val="auto"/>
              </w:rPr>
              <w:t>By:</w:t>
            </w:r>
          </w:p>
        </w:tc>
        <w:tc>
          <w:tcPr>
            <w:tcW w:w="4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Gal Krubiner</w:t>
            </w:r>
          </w:p>
        </w:tc>
      </w:tr>
      <w:tr>
        <w:trPr>
          <w:trHeight w:val="167"/>
        </w:trPr>
        <w:tc>
          <w:tcPr>
            <w:tcW w:w="3500" w:type="dxa"/>
            <w:vAlign w:val="bottom"/>
          </w:tcPr>
          <w:p>
            <w:pPr>
              <w:spacing w:after="0"/>
              <w:rPr>
                <w:sz w:val="14"/>
                <w:szCs w:val="14"/>
                <w:color w:val="auto"/>
              </w:rPr>
            </w:pPr>
          </w:p>
        </w:tc>
        <w:tc>
          <w:tcPr>
            <w:tcW w:w="2960" w:type="dxa"/>
            <w:vAlign w:val="bottom"/>
          </w:tcPr>
          <w:p>
            <w:pPr>
              <w:ind w:left="2120"/>
              <w:spacing w:after="0"/>
              <w:rPr>
                <w:sz w:val="20"/>
                <w:szCs w:val="20"/>
                <w:color w:val="auto"/>
              </w:rPr>
            </w:pPr>
            <w:r>
              <w:rPr>
                <w:rFonts w:ascii="Times New Roman" w:cs="Times New Roman" w:eastAsia="Times New Roman" w:hAnsi="Times New Roman"/>
                <w:sz w:val="14"/>
                <w:szCs w:val="14"/>
                <w:color w:val="auto"/>
              </w:rPr>
              <w:t>Name:</w:t>
            </w:r>
          </w:p>
        </w:tc>
        <w:tc>
          <w:tcPr>
            <w:tcW w:w="4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Gal Krubiner</w:t>
            </w:r>
          </w:p>
        </w:tc>
      </w:tr>
      <w:tr>
        <w:trPr>
          <w:trHeight w:val="184"/>
        </w:trPr>
        <w:tc>
          <w:tcPr>
            <w:tcW w:w="3500" w:type="dxa"/>
            <w:vAlign w:val="bottom"/>
          </w:tcPr>
          <w:p>
            <w:pPr>
              <w:spacing w:after="0"/>
              <w:rPr>
                <w:sz w:val="16"/>
                <w:szCs w:val="16"/>
                <w:color w:val="auto"/>
              </w:rPr>
            </w:pPr>
          </w:p>
        </w:tc>
        <w:tc>
          <w:tcPr>
            <w:tcW w:w="2960" w:type="dxa"/>
            <w:vAlign w:val="bottom"/>
          </w:tcPr>
          <w:p>
            <w:pPr>
              <w:ind w:left="2120"/>
              <w:spacing w:after="0"/>
              <w:rPr>
                <w:sz w:val="20"/>
                <w:szCs w:val="20"/>
                <w:color w:val="auto"/>
              </w:rPr>
            </w:pPr>
            <w:r>
              <w:rPr>
                <w:rFonts w:ascii="Times New Roman" w:cs="Times New Roman" w:eastAsia="Times New Roman" w:hAnsi="Times New Roman"/>
                <w:sz w:val="14"/>
                <w:szCs w:val="14"/>
                <w:color w:val="auto"/>
              </w:rPr>
              <w:t>Title:</w:t>
            </w:r>
          </w:p>
        </w:tc>
        <w:tc>
          <w:tcPr>
            <w:tcW w:w="4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Chief Executive Officer</w:t>
            </w:r>
          </w:p>
        </w:tc>
      </w:tr>
    </w:tbl>
    <w:p>
      <w:pPr>
        <w:sectPr>
          <w:pgSz w:w="11900" w:h="16838" w:orient="portrait"/>
          <w:cols w:equalWidth="0" w:num="1">
            <w:col w:w="11280"/>
          </w:cols>
          <w:pgMar w:left="300" w:top="1141" w:right="31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275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9733915</wp:posOffset>
            </wp:positionV>
            <wp:extent cx="7105650" cy="196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0565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2024-02-21T05:57:52Z</dcterms:created>
  <dcterms:modified xsi:type="dcterms:W3CDTF">2024-02-21T05:57:52Z</dcterms:modified>
</cp:coreProperties>
</file>