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420" w:hanging="275"/>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6" w:lineRule="exact"/>
        <w:rPr>
          <w:sz w:val="24"/>
          <w:szCs w:val="24"/>
          <w:color w:val="auto"/>
        </w:rPr>
      </w:pPr>
    </w:p>
    <w:p>
      <w:pPr>
        <w:ind w:left="3420" w:right="1660" w:hanging="3275"/>
        <w:spacing w:after="0" w:line="365" w:lineRule="auto"/>
        <w:tabs>
          <w:tab w:leader="none" w:pos="41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6"/>
          <w:szCs w:val="16"/>
          <w:b w:val="1"/>
          <w:bCs w:val="1"/>
          <w:color w:val="auto"/>
        </w:rPr>
        <w:t>001-41430</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Pagaya Technologies Ltd.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060" w:type="dxa"/>
            <w:vAlign w:val="bottom"/>
          </w:tcPr>
          <w:p>
            <w:pPr>
              <w:spacing w:after="0"/>
              <w:rPr>
                <w:sz w:val="20"/>
                <w:szCs w:val="20"/>
                <w:color w:val="auto"/>
              </w:rPr>
            </w:pPr>
          </w:p>
        </w:tc>
        <w:tc>
          <w:tcPr>
            <w:tcW w:w="3580" w:type="dxa"/>
            <w:vAlign w:val="bottom"/>
            <w:gridSpan w:val="4"/>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Israel</w:t>
            </w:r>
          </w:p>
        </w:tc>
        <w:tc>
          <w:tcPr>
            <w:tcW w:w="4600" w:type="dxa"/>
            <w:vAlign w:val="bottom"/>
          </w:tcPr>
          <w:p>
            <w:pPr>
              <w:jc w:val="right"/>
              <w:ind w:right="1514"/>
              <w:spacing w:after="0"/>
              <w:rPr>
                <w:sz w:val="20"/>
                <w:szCs w:val="20"/>
                <w:color w:val="auto"/>
              </w:rPr>
            </w:pPr>
            <w:r>
              <w:rPr>
                <w:rFonts w:ascii="Times New Roman" w:cs="Times New Roman" w:eastAsia="Times New Roman" w:hAnsi="Times New Roman"/>
                <w:sz w:val="18"/>
                <w:szCs w:val="18"/>
                <w:b w:val="1"/>
                <w:bCs w:val="1"/>
                <w:color w:val="auto"/>
              </w:rPr>
              <w:t>87-3083236</w:t>
            </w:r>
          </w:p>
        </w:tc>
      </w:tr>
      <w:tr>
        <w:trPr>
          <w:trHeight w:val="234"/>
        </w:trPr>
        <w:tc>
          <w:tcPr>
            <w:tcW w:w="66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6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66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90 Park Ave, 20th Floor</w:t>
            </w:r>
          </w:p>
        </w:tc>
        <w:tc>
          <w:tcPr>
            <w:tcW w:w="4600" w:type="dxa"/>
            <w:vAlign w:val="bottom"/>
          </w:tcPr>
          <w:p>
            <w:pPr>
              <w:spacing w:after="0"/>
              <w:rPr>
                <w:sz w:val="23"/>
                <w:szCs w:val="23"/>
                <w:color w:val="auto"/>
              </w:rPr>
            </w:pPr>
          </w:p>
        </w:tc>
      </w:tr>
      <w:tr>
        <w:trPr>
          <w:trHeight w:val="234"/>
        </w:trPr>
        <w:tc>
          <w:tcPr>
            <w:tcW w:w="66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4600" w:type="dxa"/>
            <w:vAlign w:val="bottom"/>
          </w:tcPr>
          <w:p>
            <w:pPr>
              <w:jc w:val="right"/>
              <w:ind w:right="1714"/>
              <w:spacing w:after="0"/>
              <w:rPr>
                <w:sz w:val="20"/>
                <w:szCs w:val="20"/>
                <w:color w:val="auto"/>
              </w:rPr>
            </w:pPr>
            <w:r>
              <w:rPr>
                <w:rFonts w:ascii="Times New Roman" w:cs="Times New Roman" w:eastAsia="Times New Roman" w:hAnsi="Times New Roman"/>
                <w:sz w:val="18"/>
                <w:szCs w:val="18"/>
                <w:b w:val="1"/>
                <w:bCs w:val="1"/>
                <w:color w:val="auto"/>
              </w:rPr>
              <w:t>10016</w:t>
            </w:r>
          </w:p>
        </w:tc>
      </w:tr>
      <w:tr>
        <w:trPr>
          <w:trHeight w:val="234"/>
        </w:trPr>
        <w:tc>
          <w:tcPr>
            <w:tcW w:w="66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00" w:type="dxa"/>
            <w:vAlign w:val="bottom"/>
          </w:tcPr>
          <w:p>
            <w:pPr>
              <w:jc w:val="center"/>
              <w:ind w:left="474"/>
              <w:spacing w:after="0"/>
              <w:rPr>
                <w:sz w:val="20"/>
                <w:szCs w:val="20"/>
                <w:color w:val="auto"/>
              </w:rPr>
            </w:pPr>
            <w:r>
              <w:rPr>
                <w:rFonts w:ascii="Times New Roman" w:cs="Times New Roman" w:eastAsia="Times New Roman" w:hAnsi="Times New Roman"/>
                <w:sz w:val="18"/>
                <w:szCs w:val="18"/>
                <w:color w:val="auto"/>
              </w:rPr>
              <w:t>(Zip Code)</w:t>
            </w:r>
          </w:p>
        </w:tc>
      </w:tr>
      <w:tr>
        <w:trPr>
          <w:trHeight w:val="508"/>
        </w:trPr>
        <w:tc>
          <w:tcPr>
            <w:tcW w:w="3060" w:type="dxa"/>
            <w:vAlign w:val="bottom"/>
          </w:tcPr>
          <w:p>
            <w:pPr>
              <w:spacing w:after="0"/>
              <w:rPr>
                <w:sz w:val="24"/>
                <w:szCs w:val="24"/>
                <w:color w:val="auto"/>
              </w:rPr>
            </w:pPr>
          </w:p>
        </w:tc>
        <w:tc>
          <w:tcPr>
            <w:tcW w:w="3500" w:type="dxa"/>
            <w:vAlign w:val="bottom"/>
            <w:gridSpan w:val="3"/>
          </w:tcPr>
          <w:p>
            <w:pPr>
              <w:jc w:val="center"/>
              <w:ind w:left="1532"/>
              <w:spacing w:after="0"/>
              <w:rPr>
                <w:sz w:val="20"/>
                <w:szCs w:val="20"/>
                <w:color w:val="auto"/>
              </w:rPr>
            </w:pPr>
            <w:r>
              <w:rPr>
                <w:rFonts w:ascii="Times New Roman" w:cs="Times New Roman" w:eastAsia="Times New Roman" w:hAnsi="Times New Roman"/>
                <w:sz w:val="18"/>
                <w:szCs w:val="18"/>
                <w:b w:val="1"/>
                <w:bCs w:val="1"/>
                <w:color w:val="auto"/>
                <w:w w:val="99"/>
              </w:rPr>
              <w:t>(646) 710-7714</w:t>
            </w:r>
          </w:p>
        </w:tc>
        <w:tc>
          <w:tcPr>
            <w:tcW w:w="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8180" w:type="dxa"/>
            <w:vAlign w:val="bottom"/>
            <w:gridSpan w:val="5"/>
          </w:tcPr>
          <w:p>
            <w:pPr>
              <w:jc w:val="center"/>
              <w:ind w:right="2974"/>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99"/>
        </w:trPr>
        <w:tc>
          <w:tcPr>
            <w:tcW w:w="3060" w:type="dxa"/>
            <w:vAlign w:val="bottom"/>
          </w:tcPr>
          <w:p>
            <w:pPr>
              <w:spacing w:after="0"/>
              <w:rPr>
                <w:sz w:val="24"/>
                <w:szCs w:val="24"/>
                <w:color w:val="auto"/>
              </w:rPr>
            </w:pPr>
          </w:p>
        </w:tc>
        <w:tc>
          <w:tcPr>
            <w:tcW w:w="8180" w:type="dxa"/>
            <w:vAlign w:val="bottom"/>
            <w:gridSpan w:val="5"/>
          </w:tcPr>
          <w:p>
            <w:pPr>
              <w:jc w:val="center"/>
              <w:ind w:right="297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19"/>
        </w:trPr>
        <w:tc>
          <w:tcPr>
            <w:tcW w:w="306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60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Ordinary Shares, no par value</w:t>
            </w: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PGY</w:t>
            </w:r>
          </w:p>
        </w:tc>
        <w:tc>
          <w:tcPr>
            <w:tcW w:w="80" w:type="dxa"/>
            <w:vAlign w:val="bottom"/>
          </w:tcPr>
          <w:p>
            <w:pPr>
              <w:spacing w:after="0"/>
              <w:rPr>
                <w:sz w:val="17"/>
                <w:szCs w:val="17"/>
                <w:color w:val="auto"/>
              </w:rPr>
            </w:pPr>
          </w:p>
        </w:tc>
        <w:tc>
          <w:tcPr>
            <w:tcW w:w="4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 to purchase Class A Ordinary Shares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PGYWW</w:t>
            </w:r>
          </w:p>
        </w:tc>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73" w:lineRule="exact"/>
        <w:rPr>
          <w:sz w:val="24"/>
          <w:szCs w:val="24"/>
          <w:color w:val="auto"/>
        </w:rPr>
      </w:pPr>
    </w:p>
    <w:p>
      <w:pPr>
        <w:jc w:val="both"/>
        <w:spacing w:after="0" w:line="16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spacing w:after="0" w:line="16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spacing w:after="0" w:line="22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9"/>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40" w:type="dxa"/>
            <w:vAlign w:val="bottom"/>
          </w:tcPr>
          <w:p>
            <w:pPr>
              <w:ind w:left="18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Accelerated filer</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1"/>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40" w:type="dxa"/>
            <w:vAlign w:val="bottom"/>
          </w:tcPr>
          <w:p>
            <w:pPr>
              <w:ind w:left="18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2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firstLine="60"/>
        <w:spacing w:after="0" w:line="16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As of July 31, 2024, the registrant had 59,162,971 Class A Ordinary Shares, no par value, outstanding and 12,652,310 Class B Ordinary Shares, no par value, outstanding, and 5,000,000 Series A Preferred Shares,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020" w:type="dxa"/>
            <w:vAlign w:val="bottom"/>
          </w:tcPr>
          <w:p>
            <w:pPr>
              <w:spacing w:after="0"/>
              <w:rPr>
                <w:sz w:val="18"/>
                <w:szCs w:val="18"/>
                <w:color w:val="auto"/>
              </w:rPr>
            </w:pPr>
          </w:p>
        </w:tc>
      </w:tr>
      <w:tr>
        <w:trPr>
          <w:trHeight w:val="475"/>
        </w:trPr>
        <w:tc>
          <w:tcPr>
            <w:tcW w:w="7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7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06"/>
        </w:trPr>
        <w:tc>
          <w:tcPr>
            <w:tcW w:w="1940" w:type="dxa"/>
            <w:vAlign w:val="bottom"/>
            <w:tcBorders>
              <w:left w:val="single" w:sz="8" w:color="CCEEFF"/>
              <w:bottom w:val="single" w:sz="8" w:color="0000FF"/>
            </w:tcBorders>
            <w:gridSpan w:val="8"/>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0000FF"/>
              </w:rPr>
              <w:t>Part I - Financial Information</w:t>
            </w:r>
          </w:p>
        </w:tc>
        <w:tc>
          <w:tcPr>
            <w:tcW w:w="8280" w:type="dxa"/>
            <w:vAlign w:val="bottom"/>
            <w:tcBorders>
              <w:bottom w:val="single" w:sz="8" w:color="CCEEFF"/>
            </w:tcBorders>
            <w:gridSpan w:val="11"/>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1</w:t>
            </w:r>
          </w:p>
        </w:tc>
      </w:tr>
      <w:tr>
        <w:trPr>
          <w:trHeight w:val="189"/>
        </w:trPr>
        <w:tc>
          <w:tcPr>
            <w:tcW w:w="10220" w:type="dxa"/>
            <w:vAlign w:val="bottom"/>
            <w:gridSpan w:val="19"/>
          </w:tcPr>
          <w:p>
            <w:pPr>
              <w:ind w:left="20"/>
              <w:spacing w:after="0" w:line="169" w:lineRule="exact"/>
              <w:rPr>
                <w:sz w:val="20"/>
                <w:szCs w:val="20"/>
                <w:color w:val="auto"/>
              </w:rPr>
            </w:pPr>
            <w:r>
              <w:rPr>
                <w:rFonts w:ascii="Times New Roman" w:cs="Times New Roman" w:eastAsia="Times New Roman" w:hAnsi="Times New Roman"/>
                <w:sz w:val="16"/>
                <w:szCs w:val="16"/>
                <w:color w:val="0000FF"/>
              </w:rPr>
              <w:t>Item 1. Financial Statements</w:t>
            </w:r>
          </w:p>
        </w:tc>
        <w:tc>
          <w:tcPr>
            <w:tcW w:w="10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w:t>
            </w:r>
          </w:p>
        </w:tc>
      </w:tr>
      <w:tr>
        <w:trPr>
          <w:trHeight w:val="34"/>
        </w:trPr>
        <w:tc>
          <w:tcPr>
            <w:tcW w:w="7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6"/>
        </w:trPr>
        <w:tc>
          <w:tcPr>
            <w:tcW w:w="2580" w:type="dxa"/>
            <w:vAlign w:val="bottom"/>
            <w:tcBorders>
              <w:left w:val="single" w:sz="8" w:color="CCEEFF"/>
              <w:bottom w:val="single" w:sz="8" w:color="0000FF"/>
            </w:tcBorders>
            <w:gridSpan w:val="10"/>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Condensed consolidated balance sheets</w:t>
            </w:r>
          </w:p>
        </w:tc>
        <w:tc>
          <w:tcPr>
            <w:tcW w:w="7640" w:type="dxa"/>
            <w:vAlign w:val="bottom"/>
            <w:tcBorders>
              <w:bottom w:val="single" w:sz="8" w:color="CCEEFF"/>
            </w:tcBorders>
            <w:gridSpan w:val="9"/>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r>
      <w:tr>
        <w:trPr>
          <w:trHeight w:val="175"/>
        </w:trPr>
        <w:tc>
          <w:tcPr>
            <w:tcW w:w="10220" w:type="dxa"/>
            <w:vAlign w:val="bottom"/>
            <w:gridSpan w:val="19"/>
          </w:tcPr>
          <w:p>
            <w:pPr>
              <w:ind w:left="20"/>
              <w:spacing w:after="0" w:line="155" w:lineRule="exact"/>
              <w:rPr>
                <w:sz w:val="20"/>
                <w:szCs w:val="20"/>
                <w:color w:val="auto"/>
              </w:rPr>
            </w:pPr>
            <w:r>
              <w:rPr>
                <w:rFonts w:ascii="Times New Roman" w:cs="Times New Roman" w:eastAsia="Times New Roman" w:hAnsi="Times New Roman"/>
                <w:sz w:val="16"/>
                <w:szCs w:val="16"/>
                <w:color w:val="0000FF"/>
              </w:rPr>
              <w:t>Condensed consolidated statements of operations</w:t>
            </w:r>
          </w:p>
        </w:tc>
        <w:tc>
          <w:tcPr>
            <w:tcW w:w="10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3</w:t>
            </w:r>
          </w:p>
        </w:tc>
      </w:tr>
      <w:tr>
        <w:trPr>
          <w:trHeight w:val="34"/>
        </w:trPr>
        <w:tc>
          <w:tcPr>
            <w:tcW w:w="7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5"/>
        </w:trPr>
        <w:tc>
          <w:tcPr>
            <w:tcW w:w="4140" w:type="dxa"/>
            <w:vAlign w:val="bottom"/>
            <w:tcBorders>
              <w:left w:val="single" w:sz="8" w:color="CCEEFF"/>
              <w:bottom w:val="single" w:sz="8" w:color="CCEEFF"/>
            </w:tcBorders>
            <w:gridSpan w:val="15"/>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0000FF"/>
              </w:rPr>
              <w:t>Condensed consolidated statements of comprehensive income (</w:t>
            </w:r>
          </w:p>
        </w:tc>
        <w:tc>
          <w:tcPr>
            <w:tcW w:w="320" w:type="dxa"/>
            <w:vAlign w:val="bottom"/>
            <w:tcBorders>
              <w:bottom w:val="single" w:sz="8" w:color="0000FF"/>
              <w:right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w w:val="92"/>
              </w:rPr>
              <w:t>loss)</w:t>
            </w:r>
          </w:p>
        </w:tc>
        <w:tc>
          <w:tcPr>
            <w:tcW w:w="18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7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4</w:t>
            </w:r>
          </w:p>
        </w:tc>
      </w:tr>
      <w:tr>
        <w:trPr>
          <w:trHeight w:val="34"/>
        </w:trPr>
        <w:tc>
          <w:tcPr>
            <w:tcW w:w="700" w:type="dxa"/>
            <w:vAlign w:val="bottom"/>
            <w:tcBorders>
              <w:left w:val="single" w:sz="8" w:color="CCEE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320" w:type="dxa"/>
            <w:vAlign w:val="bottom"/>
            <w:tcBorders>
              <w:right w:val="single" w:sz="8" w:color="CCEEFF"/>
            </w:tcBorders>
            <w:shd w:val="clear" w:color="auto" w:fill="0000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75"/>
        </w:trPr>
        <w:tc>
          <w:tcPr>
            <w:tcW w:w="7500" w:type="dxa"/>
            <w:vAlign w:val="bottom"/>
            <w:tcBorders>
              <w:bottom w:val="single" w:sz="8" w:color="0000FF"/>
            </w:tcBorders>
            <w:gridSpan w:val="18"/>
          </w:tcPr>
          <w:p>
            <w:pPr>
              <w:ind w:left="20"/>
              <w:spacing w:after="0" w:line="155" w:lineRule="exact"/>
              <w:rPr>
                <w:sz w:val="20"/>
                <w:szCs w:val="20"/>
                <w:color w:val="auto"/>
              </w:rPr>
            </w:pPr>
            <w:r>
              <w:rPr>
                <w:rFonts w:ascii="Times New Roman" w:cs="Times New Roman" w:eastAsia="Times New Roman" w:hAnsi="Times New Roman"/>
                <w:sz w:val="16"/>
                <w:szCs w:val="16"/>
                <w:color w:val="0000FF"/>
              </w:rPr>
              <w:t>Condensed consolidated statements of changes in redeemable convertible preferred shares and shareholders’ equity</w:t>
            </w:r>
          </w:p>
        </w:tc>
        <w:tc>
          <w:tcPr>
            <w:tcW w:w="2720" w:type="dxa"/>
            <w:vAlign w:val="bottom"/>
          </w:tcPr>
          <w:p>
            <w:pPr>
              <w:spacing w:after="0"/>
              <w:rPr>
                <w:sz w:val="15"/>
                <w:szCs w:val="15"/>
                <w:color w:val="auto"/>
              </w:rPr>
            </w:pP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w:t>
            </w:r>
          </w:p>
        </w:tc>
      </w:tr>
      <w:tr>
        <w:trPr>
          <w:trHeight w:val="34"/>
        </w:trPr>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3240" w:type="dxa"/>
            <w:vAlign w:val="bottom"/>
            <w:tcBorders>
              <w:left w:val="single" w:sz="8" w:color="CCEEFF"/>
              <w:bottom w:val="single" w:sz="8" w:color="0000FF"/>
            </w:tcBorders>
            <w:gridSpan w:val="14"/>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6980" w:type="dxa"/>
            <w:vAlign w:val="bottom"/>
            <w:tcBorders>
              <w:bottom w:val="single" w:sz="8" w:color="CCEEFF"/>
            </w:tcBorders>
            <w:gridSpan w:val="5"/>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7</w:t>
            </w:r>
          </w:p>
        </w:tc>
      </w:tr>
      <w:tr>
        <w:trPr>
          <w:trHeight w:val="176"/>
        </w:trPr>
        <w:tc>
          <w:tcPr>
            <w:tcW w:w="10220" w:type="dxa"/>
            <w:vAlign w:val="bottom"/>
            <w:gridSpan w:val="19"/>
          </w:tcPr>
          <w:p>
            <w:pPr>
              <w:ind w:left="20"/>
              <w:spacing w:after="0" w:line="175" w:lineRule="exact"/>
              <w:rPr>
                <w:sz w:val="20"/>
                <w:szCs w:val="20"/>
                <w:color w:val="auto"/>
              </w:rPr>
            </w:pPr>
            <w:r>
              <w:rPr>
                <w:rFonts w:ascii="Times New Roman" w:cs="Times New Roman" w:eastAsia="Times New Roman" w:hAnsi="Times New Roman"/>
                <w:sz w:val="16"/>
                <w:szCs w:val="16"/>
                <w:color w:val="0000FF"/>
              </w:rPr>
              <w:t>Notes to the consolidated financial statements</w:t>
            </w: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w:t>
            </w:r>
          </w:p>
        </w:tc>
      </w:tr>
      <w:tr>
        <w:trPr>
          <w:trHeight w:val="20"/>
        </w:trPr>
        <w:tc>
          <w:tcPr>
            <w:tcW w:w="7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0220" w:type="dxa"/>
            <w:vAlign w:val="bottom"/>
            <w:tcBorders>
              <w:left w:val="single" w:sz="8" w:color="CCEEFF"/>
            </w:tcBorders>
            <w:gridSpan w:val="19"/>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10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27</w:t>
            </w:r>
          </w:p>
        </w:tc>
      </w:tr>
      <w:tr>
        <w:trPr>
          <w:trHeight w:val="189"/>
        </w:trPr>
        <w:tc>
          <w:tcPr>
            <w:tcW w:w="6340" w:type="dxa"/>
            <w:vAlign w:val="bottom"/>
            <w:tcBorders>
              <w:top w:val="single" w:sz="8" w:color="0000FF"/>
            </w:tcBorders>
            <w:gridSpan w:val="17"/>
          </w:tcPr>
          <w:p>
            <w:pPr>
              <w:ind w:left="20"/>
              <w:spacing w:after="0" w:line="169" w:lineRule="exact"/>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3880" w:type="dxa"/>
            <w:vAlign w:val="bottom"/>
            <w:tcBorders>
              <w:top w:val="single" w:sz="8" w:color="CCEEFF"/>
            </w:tcBorders>
            <w:gridSpan w:val="2"/>
          </w:tcPr>
          <w:p>
            <w:pPr>
              <w:spacing w:after="0"/>
              <w:rPr>
                <w:sz w:val="16"/>
                <w:szCs w:val="16"/>
                <w:color w:val="auto"/>
              </w:rPr>
            </w:pPr>
          </w:p>
        </w:tc>
        <w:tc>
          <w:tcPr>
            <w:tcW w:w="1020" w:type="dxa"/>
            <w:vAlign w:val="bottom"/>
            <w:tcBorders>
              <w:top w:val="single" w:sz="8" w:color="CCEEFF"/>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45</w:t>
            </w:r>
          </w:p>
        </w:tc>
      </w:tr>
      <w:tr>
        <w:trPr>
          <w:trHeight w:val="34"/>
        </w:trPr>
        <w:tc>
          <w:tcPr>
            <w:tcW w:w="7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2120" w:type="dxa"/>
            <w:vAlign w:val="bottom"/>
            <w:tcBorders>
              <w:left w:val="single" w:sz="8" w:color="CCEEFF"/>
              <w:bottom w:val="single" w:sz="8" w:color="0000FF"/>
            </w:tcBorders>
            <w:gridSpan w:val="9"/>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0000FF"/>
              </w:rPr>
              <w:t>Item 4. Controls and Procedures</w:t>
            </w:r>
          </w:p>
        </w:tc>
        <w:tc>
          <w:tcPr>
            <w:tcW w:w="8100" w:type="dxa"/>
            <w:vAlign w:val="bottom"/>
            <w:tcBorders>
              <w:bottom w:val="single" w:sz="8" w:color="CCEEFF"/>
            </w:tcBorders>
            <w:gridSpan w:val="10"/>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46</w:t>
            </w:r>
          </w:p>
        </w:tc>
      </w:tr>
      <w:tr>
        <w:trPr>
          <w:trHeight w:val="189"/>
        </w:trPr>
        <w:tc>
          <w:tcPr>
            <w:tcW w:w="10220" w:type="dxa"/>
            <w:vAlign w:val="bottom"/>
            <w:gridSpan w:val="19"/>
          </w:tcPr>
          <w:p>
            <w:pPr>
              <w:ind w:left="20"/>
              <w:spacing w:after="0" w:line="169" w:lineRule="exact"/>
              <w:rPr>
                <w:sz w:val="20"/>
                <w:szCs w:val="20"/>
                <w:color w:val="auto"/>
              </w:rPr>
            </w:pPr>
            <w:r>
              <w:rPr>
                <w:rFonts w:ascii="Times New Roman" w:cs="Times New Roman" w:eastAsia="Times New Roman" w:hAnsi="Times New Roman"/>
                <w:sz w:val="16"/>
                <w:szCs w:val="16"/>
                <w:color w:val="0000FF"/>
              </w:rPr>
              <w:t>Part II - Other Information</w:t>
            </w:r>
          </w:p>
        </w:tc>
        <w:tc>
          <w:tcPr>
            <w:tcW w:w="10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46</w:t>
            </w:r>
          </w:p>
        </w:tc>
      </w:tr>
      <w:tr>
        <w:trPr>
          <w:trHeight w:val="34"/>
        </w:trPr>
        <w:tc>
          <w:tcPr>
            <w:tcW w:w="7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1720" w:type="dxa"/>
            <w:vAlign w:val="bottom"/>
            <w:tcBorders>
              <w:left w:val="single" w:sz="8" w:color="CCEEFF"/>
              <w:bottom w:val="single" w:sz="8" w:color="0000FF"/>
            </w:tcBorders>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0000FF"/>
                <w:w w:val="99"/>
              </w:rPr>
              <w:t>Item 1. Legal Proceedings</w:t>
            </w:r>
          </w:p>
        </w:tc>
        <w:tc>
          <w:tcPr>
            <w:tcW w:w="900" w:type="dxa"/>
            <w:vAlign w:val="bottom"/>
            <w:tcBorders>
              <w:bottom w:val="single" w:sz="8" w:color="CCEEFF"/>
            </w:tcBorders>
            <w:gridSpan w:val="6"/>
            <w:shd w:val="clear" w:color="auto" w:fill="CCEEFF"/>
          </w:tcPr>
          <w:p>
            <w:pPr>
              <w:spacing w:after="0"/>
              <w:rPr>
                <w:sz w:val="19"/>
                <w:szCs w:val="19"/>
                <w:color w:val="auto"/>
              </w:rPr>
            </w:pPr>
          </w:p>
        </w:tc>
        <w:tc>
          <w:tcPr>
            <w:tcW w:w="1840" w:type="dxa"/>
            <w:vAlign w:val="bottom"/>
            <w:tcBorders>
              <w:bottom w:val="single" w:sz="8" w:color="CCEEFF"/>
              <w:right w:val="single" w:sz="8" w:color="CCEEFF"/>
            </w:tcBorders>
            <w:gridSpan w:val="5"/>
            <w:shd w:val="clear" w:color="auto" w:fill="CCEEFF"/>
          </w:tcPr>
          <w:p>
            <w:pPr>
              <w:spacing w:after="0"/>
              <w:rPr>
                <w:sz w:val="19"/>
                <w:szCs w:val="19"/>
                <w:color w:val="auto"/>
              </w:rPr>
            </w:pPr>
          </w:p>
        </w:tc>
        <w:tc>
          <w:tcPr>
            <w:tcW w:w="5760" w:type="dxa"/>
            <w:vAlign w:val="bottom"/>
            <w:tcBorders>
              <w:bottom w:val="single" w:sz="8" w:color="CCEEFF"/>
            </w:tcBorders>
            <w:gridSpan w:val="3"/>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189"/>
        </w:trPr>
        <w:tc>
          <w:tcPr>
            <w:tcW w:w="10220" w:type="dxa"/>
            <w:vAlign w:val="bottom"/>
            <w:tcBorders>
              <w:top w:val="single" w:sz="8" w:color="CCEEFF"/>
            </w:tcBorders>
            <w:gridSpan w:val="19"/>
          </w:tcPr>
          <w:p>
            <w:pPr>
              <w:ind w:left="20"/>
              <w:spacing w:after="0" w:line="169" w:lineRule="exact"/>
              <w:rPr>
                <w:sz w:val="20"/>
                <w:szCs w:val="20"/>
                <w:color w:val="auto"/>
              </w:rPr>
            </w:pPr>
            <w:r>
              <w:rPr>
                <w:rFonts w:ascii="Times New Roman" w:cs="Times New Roman" w:eastAsia="Times New Roman" w:hAnsi="Times New Roman"/>
                <w:sz w:val="16"/>
                <w:szCs w:val="16"/>
                <w:color w:val="0000FF"/>
              </w:rPr>
              <w:t>Item 1A. Risk Factors</w:t>
            </w:r>
          </w:p>
        </w:tc>
        <w:tc>
          <w:tcPr>
            <w:tcW w:w="1020" w:type="dxa"/>
            <w:vAlign w:val="bottom"/>
            <w:tcBorders>
              <w:top w:val="single" w:sz="8" w:color="CCEEFF"/>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46</w:t>
            </w:r>
          </w:p>
        </w:tc>
      </w:tr>
      <w:tr>
        <w:trPr>
          <w:trHeight w:val="34"/>
        </w:trPr>
        <w:tc>
          <w:tcPr>
            <w:tcW w:w="7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4460" w:type="dxa"/>
            <w:vAlign w:val="bottom"/>
            <w:tcBorders>
              <w:left w:val="single" w:sz="8" w:color="CCEEFF"/>
              <w:bottom w:val="single" w:sz="8" w:color="0000FF"/>
              <w:right w:val="single" w:sz="8" w:color="CCEEFF"/>
            </w:tcBorders>
            <w:gridSpan w:val="16"/>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5760" w:type="dxa"/>
            <w:vAlign w:val="bottom"/>
            <w:tcBorders>
              <w:bottom w:val="single" w:sz="8" w:color="CCEEFF"/>
            </w:tcBorders>
            <w:gridSpan w:val="3"/>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47</w:t>
            </w:r>
          </w:p>
        </w:tc>
      </w:tr>
      <w:tr>
        <w:trPr>
          <w:trHeight w:val="189"/>
        </w:trPr>
        <w:tc>
          <w:tcPr>
            <w:tcW w:w="2620" w:type="dxa"/>
            <w:vAlign w:val="bottom"/>
            <w:tcBorders>
              <w:bottom w:val="single" w:sz="8" w:color="0000FF"/>
            </w:tcBorders>
            <w:gridSpan w:val="11"/>
          </w:tcPr>
          <w:p>
            <w:pPr>
              <w:ind w:left="20"/>
              <w:spacing w:after="0" w:line="169" w:lineRule="exact"/>
              <w:rPr>
                <w:sz w:val="20"/>
                <w:szCs w:val="20"/>
                <w:color w:val="auto"/>
              </w:rPr>
            </w:pPr>
            <w:r>
              <w:rPr>
                <w:rFonts w:ascii="Times New Roman" w:cs="Times New Roman" w:eastAsia="Times New Roman" w:hAnsi="Times New Roman"/>
                <w:sz w:val="16"/>
                <w:szCs w:val="16"/>
                <w:color w:val="0000FF"/>
              </w:rPr>
              <w:t>Item 3. Defaults Upon Senior Securities</w:t>
            </w:r>
          </w:p>
        </w:tc>
        <w:tc>
          <w:tcPr>
            <w:tcW w:w="7600" w:type="dxa"/>
            <w:vAlign w:val="bottom"/>
            <w:gridSpan w:val="8"/>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34"/>
        </w:trPr>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2120" w:type="dxa"/>
            <w:vAlign w:val="bottom"/>
            <w:tcBorders>
              <w:left w:val="single" w:sz="8" w:color="CCEEFF"/>
              <w:bottom w:val="single" w:sz="8" w:color="0000FF"/>
            </w:tcBorders>
            <w:gridSpan w:val="9"/>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0000FF"/>
              </w:rPr>
              <w:t>Item 4. Mine Safety Disclosures</w:t>
            </w:r>
          </w:p>
        </w:tc>
        <w:tc>
          <w:tcPr>
            <w:tcW w:w="8100" w:type="dxa"/>
            <w:vAlign w:val="bottom"/>
            <w:tcBorders>
              <w:bottom w:val="single" w:sz="8" w:color="CCEEFF"/>
            </w:tcBorders>
            <w:gridSpan w:val="10"/>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189"/>
        </w:trPr>
        <w:tc>
          <w:tcPr>
            <w:tcW w:w="10220" w:type="dxa"/>
            <w:vAlign w:val="bottom"/>
            <w:tcBorders>
              <w:top w:val="single" w:sz="8" w:color="CCEEFF"/>
            </w:tcBorders>
            <w:gridSpan w:val="19"/>
          </w:tcPr>
          <w:p>
            <w:pPr>
              <w:ind w:left="20"/>
              <w:spacing w:after="0" w:line="169" w:lineRule="exact"/>
              <w:rPr>
                <w:sz w:val="20"/>
                <w:szCs w:val="20"/>
                <w:color w:val="auto"/>
              </w:rPr>
            </w:pPr>
            <w:r>
              <w:rPr>
                <w:rFonts w:ascii="Times New Roman" w:cs="Times New Roman" w:eastAsia="Times New Roman" w:hAnsi="Times New Roman"/>
                <w:sz w:val="16"/>
                <w:szCs w:val="16"/>
                <w:color w:val="0000FF"/>
              </w:rPr>
              <w:t>Item 5. Other Information</w:t>
            </w:r>
          </w:p>
        </w:tc>
        <w:tc>
          <w:tcPr>
            <w:tcW w:w="1020" w:type="dxa"/>
            <w:vAlign w:val="bottom"/>
            <w:tcBorders>
              <w:top w:val="single" w:sz="8" w:color="CCEEFF"/>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47</w:t>
            </w:r>
          </w:p>
        </w:tc>
      </w:tr>
      <w:tr>
        <w:trPr>
          <w:trHeight w:val="34"/>
        </w:trPr>
        <w:tc>
          <w:tcPr>
            <w:tcW w:w="7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10220" w:type="dxa"/>
            <w:vAlign w:val="bottom"/>
            <w:tcBorders>
              <w:left w:val="single" w:sz="8" w:color="CCEEFF"/>
            </w:tcBorders>
            <w:gridSpan w:val="19"/>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0000FF"/>
              </w:rPr>
              <w:t>Item 6. Exhibits</w:t>
            </w:r>
          </w:p>
        </w:tc>
        <w:tc>
          <w:tcPr>
            <w:tcW w:w="10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48</w:t>
            </w:r>
          </w:p>
        </w:tc>
      </w:tr>
      <w:tr>
        <w:trPr>
          <w:trHeight w:val="189"/>
        </w:trPr>
        <w:tc>
          <w:tcPr>
            <w:tcW w:w="700" w:type="dxa"/>
            <w:vAlign w:val="bottom"/>
            <w:tcBorders>
              <w:top w:val="single" w:sz="8" w:color="0000FF"/>
              <w:bottom w:val="single" w:sz="8" w:color="0000FF"/>
            </w:tcBorders>
          </w:tcPr>
          <w:p>
            <w:pPr>
              <w:ind w:left="20"/>
              <w:spacing w:after="0" w:line="169" w:lineRule="exact"/>
              <w:rPr>
                <w:sz w:val="20"/>
                <w:szCs w:val="20"/>
                <w:color w:val="auto"/>
              </w:rPr>
            </w:pPr>
            <w:r>
              <w:rPr>
                <w:rFonts w:ascii="Times New Roman" w:cs="Times New Roman" w:eastAsia="Times New Roman" w:hAnsi="Times New Roman"/>
                <w:sz w:val="16"/>
                <w:szCs w:val="16"/>
                <w:color w:val="0000FF"/>
                <w:w w:val="97"/>
              </w:rPr>
              <w:t>Signatures</w:t>
            </w:r>
          </w:p>
        </w:tc>
        <w:tc>
          <w:tcPr>
            <w:tcW w:w="360" w:type="dxa"/>
            <w:vAlign w:val="bottom"/>
            <w:tcBorders>
              <w:top w:val="single" w:sz="8" w:color="0000FF"/>
            </w:tcBorders>
          </w:tcPr>
          <w:p>
            <w:pPr>
              <w:spacing w:after="0"/>
              <w:rPr>
                <w:sz w:val="16"/>
                <w:szCs w:val="16"/>
                <w:color w:val="auto"/>
              </w:rPr>
            </w:pPr>
          </w:p>
        </w:tc>
        <w:tc>
          <w:tcPr>
            <w:tcW w:w="9160" w:type="dxa"/>
            <w:vAlign w:val="bottom"/>
            <w:tcBorders>
              <w:top w:val="single" w:sz="8" w:color="CCEEFF"/>
            </w:tcBorders>
            <w:gridSpan w:val="17"/>
          </w:tcPr>
          <w:p>
            <w:pPr>
              <w:spacing w:after="0"/>
              <w:rPr>
                <w:sz w:val="16"/>
                <w:szCs w:val="16"/>
                <w:color w:val="auto"/>
              </w:rPr>
            </w:pP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This Quarterly Report contains forward-looking statements that involve substantial risks and uncertainties. The Private Securities Litigation Reform Act of 1995, or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Pagaya desires to take advantage of the safe harbor provisions of the PSLRA and is including this cautionary statement in connection with this safe harbor legislation. All statements other than statements of historical facts contained in this Annual Report,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spacing w:after="0" w:line="20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spacing w:after="0" w:line="178"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implement business plans and other expectations;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continuation of or changes in the short-term and long-term interest rate environment;</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 market or political conditions;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and cost of capital, including the financing of risk retention investments;</w:t>
      </w:r>
    </w:p>
    <w:p>
      <w:pPr>
        <w:spacing w:after="0" w:line="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service our debt financing and meet associated covenants;</w:t>
      </w:r>
    </w:p>
    <w:p>
      <w:pPr>
        <w:spacing w:after="0" w:line="24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and maintain a diverse and robust funding network;</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fair value changes in our risk retention investments in our Financing Vehicles;</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uncertain future prospects and rate of growth due to our relatively limited operating history;</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of our technology to consistently meet return expectations of asset investors in Financing Vehicles;</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improve, operate and implement our AI technology, including as we expand into new asset classes;</w:t>
      </w:r>
    </w:p>
    <w:p>
      <w:pPr>
        <w:spacing w:after="0" w:line="248"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in attracting and onboarding new Partners and raising capital from asset investors through Financing Vehicles given the current limited number of Partners that account for a substantial portion of the total number of the financial products facilitated with the assistance of our AI technology;</w:t>
      </w:r>
    </w:p>
    <w:p>
      <w:pPr>
        <w:spacing w:after="0" w:line="20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difficulties in retaining our current management team and other key employees and independent contractors, including highly-skilled technical experts;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of our future financial performance;</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political, legal and regulatory framework related to AI technology, machine learning; financial institutions and consumer protection;</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health epidemics, including the ongoing COVID-19 pandemic;</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realize the potential benefits of past or future acquisitions;</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related to our operations in Israel;</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data, security and privacy;</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accounting principles and guidelines;</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and maintain effective internal controls;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maintain the listing of our securities on Nasdaq;</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of our securities has been and may continue to be volatile;</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costs or expenses;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issuances, sales or resales of our Class A Ordinary Shares;</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active public trading market for our Class A Ordinary Shares may not be sustained; and</w:t>
      </w:r>
    </w:p>
    <w:p>
      <w:pPr>
        <w:spacing w:after="0" w:line="24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matters described in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in our Annual Report on Form 10-K</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caution you not to rely on forward-looking statements, which reflect current beliefs and are based on information currently available as of the date a forward-looking statement is made. Forward-looking statements set forth herein speak only as of the date of this Annual Report.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Market, ranking and industry data used throughout this Annual Report,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 including those discussed under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in our Annual Report on Form 10-K, which was filed with the SEC on April 25, 2024, and “</w:t>
      </w:r>
      <w:r>
        <w:rPr>
          <w:rFonts w:ascii="Times New Roman" w:cs="Times New Roman" w:eastAsia="Times New Roman" w:hAnsi="Times New Roman"/>
          <w:sz w:val="16"/>
          <w:szCs w:val="16"/>
          <w:i w:val="1"/>
          <w:iCs w:val="1"/>
          <w:color w:val="auto"/>
        </w:rPr>
        <w:t>Item 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5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(UNAUDITED)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62"/>
        </w:trPr>
        <w:tc>
          <w:tcPr>
            <w:tcW w:w="828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22"/>
        </w:trPr>
        <w:tc>
          <w:tcPr>
            <w:tcW w:w="8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82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Assets</w:t>
            </w: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920" w:type="dxa"/>
            <w:vAlign w:val="bottom"/>
            <w:tcBorders>
              <w:bottom w:val="single" w:sz="8" w:color="CCEEFF"/>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233,593</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186,478</w:t>
            </w:r>
          </w:p>
        </w:tc>
        <w:tc>
          <w:tcPr>
            <w:tcW w:w="0" w:type="dxa"/>
            <w:vAlign w:val="bottom"/>
          </w:tcPr>
          <w:p>
            <w:pPr>
              <w:spacing w:after="0"/>
              <w:rPr>
                <w:sz w:val="1"/>
                <w:szCs w:val="1"/>
                <w:color w:val="auto"/>
              </w:rPr>
            </w:pPr>
          </w:p>
        </w:tc>
      </w:tr>
      <w:tr>
        <w:trPr>
          <w:trHeight w:val="140"/>
        </w:trPr>
        <w:tc>
          <w:tcPr>
            <w:tcW w:w="8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Restricted cash</w:t>
            </w:r>
          </w:p>
        </w:tc>
        <w:tc>
          <w:tcPr>
            <w:tcW w:w="92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17,469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16,874</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Fees and other receivables (including related party receivables of $55,549 and $51,036 as of June 30, 2024 and December 31, 2023, respectively)</w:t>
            </w: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93,460</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79,526</w:t>
            </w:r>
          </w:p>
        </w:tc>
        <w:tc>
          <w:tcPr>
            <w:tcW w:w="0" w:type="dxa"/>
            <w:vAlign w:val="bottom"/>
          </w:tcPr>
          <w:p>
            <w:pPr>
              <w:spacing w:after="0"/>
              <w:rPr>
                <w:sz w:val="1"/>
                <w:szCs w:val="1"/>
                <w:color w:val="auto"/>
              </w:rPr>
            </w:pPr>
          </w:p>
        </w:tc>
      </w:tr>
      <w:tr>
        <w:trPr>
          <w:trHeight w:val="140"/>
        </w:trPr>
        <w:tc>
          <w:tcPr>
            <w:tcW w:w="8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Investments in loans and securities</w:t>
            </w:r>
          </w:p>
        </w:tc>
        <w:tc>
          <w:tcPr>
            <w:tcW w:w="92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1,663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2,490</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Prepaid expenses and other current assets (including related party assets of $6,406 and $7,896 as of June 30, 2024 and December 31, 2023, respectively)</w:t>
            </w:r>
          </w:p>
        </w:tc>
        <w:tc>
          <w:tcPr>
            <w:tcW w:w="9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15,012</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18,034</w:t>
            </w:r>
          </w:p>
        </w:tc>
        <w:tc>
          <w:tcPr>
            <w:tcW w:w="0" w:type="dxa"/>
            <w:vAlign w:val="bottom"/>
          </w:tcPr>
          <w:p>
            <w:pPr>
              <w:spacing w:after="0"/>
              <w:rPr>
                <w:sz w:val="1"/>
                <w:szCs w:val="1"/>
                <w:color w:val="auto"/>
              </w:rPr>
            </w:pPr>
          </w:p>
        </w:tc>
      </w:tr>
      <w:tr>
        <w:trPr>
          <w:trHeight w:val="134"/>
        </w:trPr>
        <w:tc>
          <w:tcPr>
            <w:tcW w:w="828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Total current assets</w:t>
            </w:r>
          </w:p>
        </w:tc>
        <w:tc>
          <w:tcPr>
            <w:tcW w:w="9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361,197</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303,402</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Restricted cash</w:t>
            </w: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16,864</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19,189</w:t>
            </w:r>
          </w:p>
        </w:tc>
        <w:tc>
          <w:tcPr>
            <w:tcW w:w="0" w:type="dxa"/>
            <w:vAlign w:val="bottom"/>
          </w:tcPr>
          <w:p>
            <w:pPr>
              <w:spacing w:after="0"/>
              <w:rPr>
                <w:sz w:val="1"/>
                <w:szCs w:val="1"/>
                <w:color w:val="auto"/>
              </w:rPr>
            </w:pPr>
          </w:p>
        </w:tc>
      </w:tr>
      <w:tr>
        <w:trPr>
          <w:trHeight w:val="140"/>
        </w:trPr>
        <w:tc>
          <w:tcPr>
            <w:tcW w:w="8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Fees and other receivables (including related party receivables of $32,987 and $33,739 as of June 30, 2024 and December 31, 2023, respectively)</w:t>
            </w:r>
          </w:p>
        </w:tc>
        <w:tc>
          <w:tcPr>
            <w:tcW w:w="92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32,987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34,181</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Investments in loans and securities</w:t>
            </w: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909,762</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714,303</w:t>
            </w:r>
          </w:p>
        </w:tc>
        <w:tc>
          <w:tcPr>
            <w:tcW w:w="0" w:type="dxa"/>
            <w:vAlign w:val="bottom"/>
          </w:tcPr>
          <w:p>
            <w:pPr>
              <w:spacing w:after="0"/>
              <w:rPr>
                <w:sz w:val="1"/>
                <w:szCs w:val="1"/>
                <w:color w:val="auto"/>
              </w:rPr>
            </w:pPr>
          </w:p>
        </w:tc>
      </w:tr>
      <w:tr>
        <w:trPr>
          <w:trHeight w:val="140"/>
        </w:trPr>
        <w:tc>
          <w:tcPr>
            <w:tcW w:w="8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Equity method and other investments</w:t>
            </w:r>
          </w:p>
        </w:tc>
        <w:tc>
          <w:tcPr>
            <w:tcW w:w="92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26,593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26,383</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Right-of-use assets</w:t>
            </w: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51,631</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55,729</w:t>
            </w:r>
          </w:p>
        </w:tc>
        <w:tc>
          <w:tcPr>
            <w:tcW w:w="0" w:type="dxa"/>
            <w:vAlign w:val="bottom"/>
          </w:tcPr>
          <w:p>
            <w:pPr>
              <w:spacing w:after="0"/>
              <w:rPr>
                <w:sz w:val="1"/>
                <w:szCs w:val="1"/>
                <w:color w:val="auto"/>
              </w:rPr>
            </w:pPr>
          </w:p>
        </w:tc>
      </w:tr>
      <w:tr>
        <w:trPr>
          <w:trHeight w:val="140"/>
        </w:trPr>
        <w:tc>
          <w:tcPr>
            <w:tcW w:w="8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92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40,628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41,557</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Goodwill</w:t>
            </w: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10,945</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10,945</w:t>
            </w:r>
          </w:p>
        </w:tc>
        <w:tc>
          <w:tcPr>
            <w:tcW w:w="0" w:type="dxa"/>
            <w:vAlign w:val="bottom"/>
          </w:tcPr>
          <w:p>
            <w:pPr>
              <w:spacing w:after="0"/>
              <w:rPr>
                <w:sz w:val="1"/>
                <w:szCs w:val="1"/>
                <w:color w:val="auto"/>
              </w:rPr>
            </w:pPr>
          </w:p>
        </w:tc>
      </w:tr>
      <w:tr>
        <w:trPr>
          <w:trHeight w:val="140"/>
        </w:trPr>
        <w:tc>
          <w:tcPr>
            <w:tcW w:w="8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Intangible assets</w:t>
            </w:r>
          </w:p>
        </w:tc>
        <w:tc>
          <w:tcPr>
            <w:tcW w:w="92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1,275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2,550</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9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1,095</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137</w:t>
            </w:r>
          </w:p>
        </w:tc>
        <w:tc>
          <w:tcPr>
            <w:tcW w:w="0" w:type="dxa"/>
            <w:vAlign w:val="bottom"/>
          </w:tcPr>
          <w:p>
            <w:pPr>
              <w:spacing w:after="0"/>
              <w:rPr>
                <w:sz w:val="1"/>
                <w:szCs w:val="1"/>
                <w:color w:val="auto"/>
              </w:rPr>
            </w:pPr>
          </w:p>
        </w:tc>
      </w:tr>
      <w:tr>
        <w:trPr>
          <w:trHeight w:val="134"/>
        </w:trPr>
        <w:tc>
          <w:tcPr>
            <w:tcW w:w="8280" w:type="dxa"/>
            <w:vAlign w:val="bottom"/>
          </w:tcPr>
          <w:p>
            <w:pPr>
              <w:ind w:left="460"/>
              <w:spacing w:after="0" w:line="122" w:lineRule="exact"/>
              <w:rPr>
                <w:sz w:val="20"/>
                <w:szCs w:val="20"/>
                <w:color w:val="auto"/>
              </w:rPr>
            </w:pPr>
            <w:r>
              <w:rPr>
                <w:rFonts w:ascii="Times New Roman" w:cs="Times New Roman" w:eastAsia="Times New Roman" w:hAnsi="Times New Roman"/>
                <w:sz w:val="11"/>
                <w:szCs w:val="11"/>
                <w:b w:val="1"/>
                <w:bCs w:val="1"/>
                <w:color w:val="auto"/>
              </w:rPr>
              <w:t>Total non-current assets</w:t>
            </w:r>
          </w:p>
        </w:tc>
        <w:tc>
          <w:tcPr>
            <w:tcW w:w="9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99"/>
              </w:rPr>
              <w:t>1,091,780</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904,974</w:t>
            </w:r>
          </w:p>
        </w:tc>
        <w:tc>
          <w:tcPr>
            <w:tcW w:w="0" w:type="dxa"/>
            <w:vAlign w:val="bottom"/>
          </w:tcPr>
          <w:p>
            <w:pPr>
              <w:spacing w:after="0"/>
              <w:rPr>
                <w:sz w:val="1"/>
                <w:szCs w:val="1"/>
                <w:color w:val="auto"/>
              </w:rPr>
            </w:pPr>
          </w:p>
        </w:tc>
      </w:tr>
      <w:tr>
        <w:trPr>
          <w:trHeight w:val="22"/>
        </w:trPr>
        <w:tc>
          <w:tcPr>
            <w:tcW w:w="8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9"/>
              </w:rPr>
              <w:t>1,452,977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1,208,376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Shareholders’ Equity</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828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8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Accounts payable</w:t>
            </w:r>
          </w:p>
        </w:tc>
        <w:tc>
          <w:tcPr>
            <w:tcW w:w="920" w:type="dxa"/>
            <w:vAlign w:val="bottom"/>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7,303</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1,286</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36,090</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28,562</w:t>
            </w:r>
          </w:p>
        </w:tc>
        <w:tc>
          <w:tcPr>
            <w:tcW w:w="0" w:type="dxa"/>
            <w:vAlign w:val="bottom"/>
          </w:tcPr>
          <w:p>
            <w:pPr>
              <w:spacing w:after="0"/>
              <w:rPr>
                <w:sz w:val="1"/>
                <w:szCs w:val="1"/>
                <w:color w:val="auto"/>
              </w:rPr>
            </w:pPr>
          </w:p>
        </w:tc>
      </w:tr>
      <w:tr>
        <w:trPr>
          <w:trHeight w:val="140"/>
        </w:trPr>
        <w:tc>
          <w:tcPr>
            <w:tcW w:w="8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Current maturities of operating lease liabilities</w:t>
            </w:r>
          </w:p>
        </w:tc>
        <w:tc>
          <w:tcPr>
            <w:tcW w:w="92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6,427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6,931</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Current portion of long-term debt</w:t>
            </w: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12,750</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8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Secured borrowing</w:t>
            </w:r>
          </w:p>
        </w:tc>
        <w:tc>
          <w:tcPr>
            <w:tcW w:w="92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176,223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37,685</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Income taxes payable</w:t>
            </w:r>
          </w:p>
        </w:tc>
        <w:tc>
          <w:tcPr>
            <w:tcW w:w="9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2,461</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461</w:t>
            </w:r>
          </w:p>
        </w:tc>
        <w:tc>
          <w:tcPr>
            <w:tcW w:w="0" w:type="dxa"/>
            <w:vAlign w:val="bottom"/>
          </w:tcPr>
          <w:p>
            <w:pPr>
              <w:spacing w:after="0"/>
              <w:rPr>
                <w:sz w:val="1"/>
                <w:szCs w:val="1"/>
                <w:color w:val="auto"/>
              </w:rPr>
            </w:pPr>
          </w:p>
        </w:tc>
      </w:tr>
      <w:tr>
        <w:trPr>
          <w:trHeight w:val="134"/>
        </w:trPr>
        <w:tc>
          <w:tcPr>
            <w:tcW w:w="828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9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241,254</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74,925</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Non-current liabilities:</w:t>
            </w: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Warrant liability</w:t>
            </w:r>
          </w:p>
        </w:tc>
        <w:tc>
          <w:tcPr>
            <w:tcW w:w="92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1,671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3,242</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Revolving credit facility</w:t>
            </w:r>
          </w:p>
        </w:tc>
        <w:tc>
          <w:tcPr>
            <w:tcW w:w="9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90,000</w:t>
            </w:r>
          </w:p>
        </w:tc>
        <w:tc>
          <w:tcPr>
            <w:tcW w:w="0" w:type="dxa"/>
            <w:vAlign w:val="bottom"/>
          </w:tcPr>
          <w:p>
            <w:pPr>
              <w:spacing w:after="0"/>
              <w:rPr>
                <w:sz w:val="1"/>
                <w:szCs w:val="1"/>
                <w:color w:val="auto"/>
              </w:rPr>
            </w:pPr>
          </w:p>
        </w:tc>
      </w:tr>
      <w:tr>
        <w:trPr>
          <w:trHeight w:val="140"/>
        </w:trPr>
        <w:tc>
          <w:tcPr>
            <w:tcW w:w="8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Long-term debt</w:t>
            </w:r>
          </w:p>
        </w:tc>
        <w:tc>
          <w:tcPr>
            <w:tcW w:w="92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219,842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Secured borrowing</w:t>
            </w: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223,998</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234,028</w:t>
            </w:r>
          </w:p>
        </w:tc>
        <w:tc>
          <w:tcPr>
            <w:tcW w:w="0" w:type="dxa"/>
            <w:vAlign w:val="bottom"/>
          </w:tcPr>
          <w:p>
            <w:pPr>
              <w:spacing w:after="0"/>
              <w:rPr>
                <w:sz w:val="1"/>
                <w:szCs w:val="1"/>
                <w:color w:val="auto"/>
              </w:rPr>
            </w:pPr>
          </w:p>
        </w:tc>
      </w:tr>
      <w:tr>
        <w:trPr>
          <w:trHeight w:val="140"/>
        </w:trPr>
        <w:tc>
          <w:tcPr>
            <w:tcW w:w="8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92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39,529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43,940</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Long-term tax liabilities</w:t>
            </w: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36,752</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22,135</w:t>
            </w:r>
          </w:p>
        </w:tc>
        <w:tc>
          <w:tcPr>
            <w:tcW w:w="0" w:type="dxa"/>
            <w:vAlign w:val="bottom"/>
          </w:tcPr>
          <w:p>
            <w:pPr>
              <w:spacing w:after="0"/>
              <w:rPr>
                <w:sz w:val="1"/>
                <w:szCs w:val="1"/>
                <w:color w:val="auto"/>
              </w:rPr>
            </w:pPr>
          </w:p>
        </w:tc>
      </w:tr>
      <w:tr>
        <w:trPr>
          <w:trHeight w:val="140"/>
        </w:trPr>
        <w:tc>
          <w:tcPr>
            <w:tcW w:w="8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Deferred tax liabilities, net</w:t>
            </w:r>
          </w:p>
        </w:tc>
        <w:tc>
          <w:tcPr>
            <w:tcW w:w="92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107</w:t>
            </w:r>
          </w:p>
        </w:tc>
        <w:tc>
          <w:tcPr>
            <w:tcW w:w="0" w:type="dxa"/>
            <w:vAlign w:val="bottom"/>
          </w:tcPr>
          <w:p>
            <w:pPr>
              <w:spacing w:after="0"/>
              <w:rPr>
                <w:sz w:val="1"/>
                <w:szCs w:val="1"/>
                <w:color w:val="auto"/>
              </w:rPr>
            </w:pPr>
          </w:p>
        </w:tc>
      </w:tr>
      <w:tr>
        <w:trPr>
          <w:trHeight w:val="22"/>
        </w:trPr>
        <w:tc>
          <w:tcPr>
            <w:tcW w:w="8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8280" w:type="dxa"/>
            <w:vAlign w:val="bottom"/>
            <w:tcBorders>
              <w:bottom w:val="single" w:sz="8" w:color="CCEEFF"/>
            </w:tcBorders>
            <w:shd w:val="clear" w:color="auto" w:fill="CCEEFF"/>
          </w:tcPr>
          <w:p>
            <w:pPr>
              <w:ind w:left="460"/>
              <w:spacing w:after="0" w:line="122" w:lineRule="exact"/>
              <w:rPr>
                <w:sz w:val="20"/>
                <w:szCs w:val="20"/>
                <w:color w:val="auto"/>
              </w:rPr>
            </w:pPr>
            <w:r>
              <w:rPr>
                <w:rFonts w:ascii="Times New Roman" w:cs="Times New Roman" w:eastAsia="Times New Roman" w:hAnsi="Times New Roman"/>
                <w:sz w:val="11"/>
                <w:szCs w:val="11"/>
                <w:b w:val="1"/>
                <w:bCs w:val="1"/>
                <w:color w:val="auto"/>
              </w:rPr>
              <w:t>Total non-current liabilities</w:t>
            </w: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521,899</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393,452</w:t>
            </w:r>
          </w:p>
        </w:tc>
        <w:tc>
          <w:tcPr>
            <w:tcW w:w="0" w:type="dxa"/>
            <w:vAlign w:val="bottom"/>
          </w:tcPr>
          <w:p>
            <w:pPr>
              <w:spacing w:after="0"/>
              <w:rPr>
                <w:sz w:val="1"/>
                <w:szCs w:val="1"/>
                <w:color w:val="auto"/>
              </w:rPr>
            </w:pPr>
          </w:p>
        </w:tc>
      </w:tr>
      <w:tr>
        <w:trPr>
          <w:trHeight w:val="134"/>
        </w:trPr>
        <w:tc>
          <w:tcPr>
            <w:tcW w:w="8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9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763,153</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468,377</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28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1"/>
                <w:szCs w:val="11"/>
                <w:color w:val="auto"/>
              </w:rPr>
              <w:t>Redeemable convertible preferred shares, no par value, 6,666,666 shares authorized, 5,000,000 shares issued and outstanding as of June 30, 2024; aggregate liquidation preference of</w:t>
            </w:r>
          </w:p>
        </w:tc>
        <w:tc>
          <w:tcPr>
            <w:tcW w:w="9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74,250</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74,250</w:t>
            </w:r>
          </w:p>
        </w:tc>
        <w:tc>
          <w:tcPr>
            <w:tcW w:w="0" w:type="dxa"/>
            <w:vAlign w:val="bottom"/>
          </w:tcPr>
          <w:p>
            <w:pPr>
              <w:spacing w:after="0"/>
              <w:rPr>
                <w:sz w:val="1"/>
                <w:szCs w:val="1"/>
                <w:color w:val="auto"/>
              </w:rPr>
            </w:pPr>
          </w:p>
        </w:tc>
      </w:tr>
      <w:tr>
        <w:trPr>
          <w:trHeight w:val="14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$150,000 as of June 30, 2024. (1)</w:t>
            </w: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Shareholders’ equity:</w:t>
            </w: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28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1"/>
                <w:szCs w:val="11"/>
                <w:color w:val="auto"/>
              </w:rPr>
              <w:t>Class A ordinary shares, no par value, 666,666,666 shares authorized, 58,943,381 and 49,390,936 shares issued and outstanding as of June 30, 2024 and December 31, 2023,</w:t>
            </w:r>
          </w:p>
        </w:tc>
        <w:tc>
          <w:tcPr>
            <w:tcW w:w="9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respectively. (1)</w:t>
            </w:r>
          </w:p>
        </w:tc>
        <w:tc>
          <w:tcPr>
            <w:tcW w:w="9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28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Class B ordinary shares, no par value, 166,666,666 shares authorized, 12,652,310 and 12,652,310 shares issued and outstanding as of June 30, 2024 and December 31, 2023,</w:t>
            </w:r>
          </w:p>
        </w:tc>
        <w:tc>
          <w:tcPr>
            <w:tcW w:w="920" w:type="dxa"/>
            <w:vAlign w:val="bottom"/>
          </w:tcPr>
          <w:p>
            <w:pPr>
              <w:spacing w:after="0"/>
              <w:rPr>
                <w:sz w:val="9"/>
                <w:szCs w:val="9"/>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9"/>
                <w:szCs w:val="9"/>
                <w:color w:val="auto"/>
              </w:rPr>
            </w:pPr>
          </w:p>
        </w:tc>
        <w:tc>
          <w:tcPr>
            <w:tcW w:w="12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8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respectively. (1)</w:t>
            </w:r>
          </w:p>
        </w:tc>
        <w:tc>
          <w:tcPr>
            <w:tcW w:w="9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9"/>
              </w:rPr>
              <w:t>1,235,677</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1,101,914</w:t>
            </w:r>
          </w:p>
        </w:tc>
        <w:tc>
          <w:tcPr>
            <w:tcW w:w="0" w:type="dxa"/>
            <w:vAlign w:val="bottom"/>
          </w:tcPr>
          <w:p>
            <w:pPr>
              <w:spacing w:after="0"/>
              <w:rPr>
                <w:sz w:val="1"/>
                <w:szCs w:val="1"/>
                <w:color w:val="auto"/>
              </w:rPr>
            </w:pPr>
          </w:p>
        </w:tc>
      </w:tr>
      <w:tr>
        <w:trPr>
          <w:trHeight w:val="140"/>
        </w:trPr>
        <w:tc>
          <w:tcPr>
            <w:tcW w:w="8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Accumulated other comprehensive income (loss)</w:t>
            </w: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(71,050)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444</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Accumulated deficit</w:t>
            </w:r>
          </w:p>
        </w:tc>
        <w:tc>
          <w:tcPr>
            <w:tcW w:w="9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(638,645)</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(542,637)</w:t>
            </w:r>
          </w:p>
        </w:tc>
        <w:tc>
          <w:tcPr>
            <w:tcW w:w="0" w:type="dxa"/>
            <w:vAlign w:val="bottom"/>
          </w:tcPr>
          <w:p>
            <w:pPr>
              <w:spacing w:after="0"/>
              <w:rPr>
                <w:sz w:val="1"/>
                <w:szCs w:val="1"/>
                <w:color w:val="auto"/>
              </w:rPr>
            </w:pPr>
          </w:p>
        </w:tc>
      </w:tr>
      <w:tr>
        <w:trPr>
          <w:trHeight w:val="134"/>
        </w:trPr>
        <w:tc>
          <w:tcPr>
            <w:tcW w:w="8280" w:type="dxa"/>
            <w:vAlign w:val="bottom"/>
          </w:tcPr>
          <w:p>
            <w:pPr>
              <w:ind w:left="460"/>
              <w:spacing w:after="0" w:line="121" w:lineRule="exact"/>
              <w:rPr>
                <w:sz w:val="20"/>
                <w:szCs w:val="20"/>
                <w:color w:val="auto"/>
              </w:rPr>
            </w:pPr>
            <w:r>
              <w:rPr>
                <w:rFonts w:ascii="Times New Roman" w:cs="Times New Roman" w:eastAsia="Times New Roman" w:hAnsi="Times New Roman"/>
                <w:sz w:val="11"/>
                <w:szCs w:val="11"/>
                <w:color w:val="auto"/>
              </w:rPr>
              <w:t>Total Pagaya Technologies Ltd. shareholders’ equity</w:t>
            </w:r>
          </w:p>
        </w:tc>
        <w:tc>
          <w:tcPr>
            <w:tcW w:w="9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525,982</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559,721</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Noncontrolling interests</w:t>
            </w:r>
          </w:p>
        </w:tc>
        <w:tc>
          <w:tcPr>
            <w:tcW w:w="9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89,592</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106,028</w:t>
            </w:r>
          </w:p>
        </w:tc>
        <w:tc>
          <w:tcPr>
            <w:tcW w:w="0" w:type="dxa"/>
            <w:vAlign w:val="bottom"/>
          </w:tcPr>
          <w:p>
            <w:pPr>
              <w:spacing w:after="0"/>
              <w:rPr>
                <w:sz w:val="1"/>
                <w:szCs w:val="1"/>
                <w:color w:val="auto"/>
              </w:rPr>
            </w:pPr>
          </w:p>
        </w:tc>
      </w:tr>
      <w:tr>
        <w:trPr>
          <w:trHeight w:val="134"/>
        </w:trPr>
        <w:tc>
          <w:tcPr>
            <w:tcW w:w="8280" w:type="dxa"/>
            <w:vAlign w:val="bottom"/>
          </w:tcPr>
          <w:p>
            <w:pPr>
              <w:ind w:left="460"/>
              <w:spacing w:after="0" w:line="121" w:lineRule="exact"/>
              <w:rPr>
                <w:sz w:val="20"/>
                <w:szCs w:val="20"/>
                <w:color w:val="auto"/>
              </w:rPr>
            </w:pPr>
            <w:r>
              <w:rPr>
                <w:rFonts w:ascii="Times New Roman" w:cs="Times New Roman" w:eastAsia="Times New Roman" w:hAnsi="Times New Roman"/>
                <w:sz w:val="11"/>
                <w:szCs w:val="11"/>
                <w:color w:val="auto"/>
              </w:rPr>
              <w:t>Total shareholders’ equity</w:t>
            </w:r>
          </w:p>
        </w:tc>
        <w:tc>
          <w:tcPr>
            <w:tcW w:w="9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615,574</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665,749</w:t>
            </w:r>
          </w:p>
        </w:tc>
        <w:tc>
          <w:tcPr>
            <w:tcW w:w="0" w:type="dxa"/>
            <w:vAlign w:val="bottom"/>
          </w:tcPr>
          <w:p>
            <w:pPr>
              <w:spacing w:after="0"/>
              <w:rPr>
                <w:sz w:val="1"/>
                <w:szCs w:val="1"/>
                <w:color w:val="auto"/>
              </w:rPr>
            </w:pPr>
          </w:p>
        </w:tc>
      </w:tr>
      <w:tr>
        <w:trPr>
          <w:trHeight w:val="22"/>
        </w:trPr>
        <w:tc>
          <w:tcPr>
            <w:tcW w:w="8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 Redeemable Convertible Preferred Shares, and Shareholders’ Equity</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9"/>
              </w:rPr>
              <w:t>1,452,977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1,208,376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Share amounts have been retroactively adjusted to reflect the 1-for-12 reverse share split effected on March 8, 2024.</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2"/>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5"/>
        </w:trPr>
        <w:tc>
          <w:tcPr>
            <w:tcW w:w="1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24"/>
                <w:szCs w:val="24"/>
                <w:color w:val="auto"/>
              </w:rPr>
            </w:pPr>
          </w:p>
        </w:tc>
        <w:tc>
          <w:tcPr>
            <w:tcW w:w="232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116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2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6"/>
                <w:szCs w:val="16"/>
                <w:color w:val="auto"/>
              </w:rPr>
              <w:t>Revenue from fees (including related party revenues of $175,333 and $148,198 for the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6"/>
                <w:szCs w:val="16"/>
                <w:color w:val="auto"/>
              </w:rPr>
              <w:t>three months ended June 30, 2024 and 2023, respectively, and $353,844 and $301,991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242,594</w:t>
            </w:r>
          </w:p>
        </w:tc>
        <w:tc>
          <w:tcPr>
            <w:tcW w:w="8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185,685</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479,598</w:t>
            </w:r>
          </w:p>
        </w:tc>
        <w:tc>
          <w:tcPr>
            <w:tcW w:w="8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360,939</w:t>
            </w:r>
          </w:p>
        </w:tc>
        <w:tc>
          <w:tcPr>
            <w:tcW w:w="0" w:type="dxa"/>
            <w:vAlign w:val="bottom"/>
          </w:tcPr>
          <w:p>
            <w:pPr>
              <w:spacing w:after="0"/>
              <w:rPr>
                <w:sz w:val="1"/>
                <w:szCs w:val="1"/>
                <w:color w:val="auto"/>
              </w:rPr>
            </w:pPr>
          </w:p>
        </w:tc>
      </w:tr>
      <w:tr>
        <w:trPr>
          <w:trHeight w:val="213"/>
        </w:trPr>
        <w:tc>
          <w:tcPr>
            <w:tcW w:w="60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for the six months ended June 30, 2024 and 2023, respectively)</w:t>
            </w:r>
          </w:p>
        </w:tc>
        <w:tc>
          <w:tcPr>
            <w:tcW w:w="1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20,590</w:t>
            </w:r>
          </w:p>
        </w:tc>
        <w:tc>
          <w:tcPr>
            <w:tcW w:w="0" w:type="dxa"/>
            <w:vAlign w:val="bottom"/>
          </w:tcPr>
          <w:p>
            <w:pPr>
              <w:spacing w:after="0"/>
              <w:rPr>
                <w:sz w:val="1"/>
                <w:szCs w:val="1"/>
                <w:color w:val="auto"/>
              </w:rPr>
            </w:pPr>
          </w:p>
        </w:tc>
      </w:tr>
      <w:tr>
        <w:trPr>
          <w:trHeight w:val="219"/>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income (loss) (1)</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0" w:type="dxa"/>
            <w:vAlign w:val="bottom"/>
          </w:tcPr>
          <w:p>
            <w:pPr>
              <w:spacing w:after="0"/>
              <w:rPr>
                <w:sz w:val="1"/>
                <w:szCs w:val="1"/>
                <w:color w:val="auto"/>
              </w:rPr>
            </w:pPr>
          </w:p>
        </w:tc>
      </w:tr>
      <w:tr>
        <w:trPr>
          <w:trHeight w:val="207"/>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and Other Income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250,344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495,620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382,250</w:t>
            </w:r>
          </w:p>
        </w:tc>
        <w:tc>
          <w:tcPr>
            <w:tcW w:w="0" w:type="dxa"/>
            <w:vAlign w:val="bottom"/>
          </w:tcPr>
          <w:p>
            <w:pPr>
              <w:spacing w:after="0"/>
              <w:rPr>
                <w:sz w:val="1"/>
                <w:szCs w:val="1"/>
                <w:color w:val="auto"/>
              </w:rPr>
            </w:pPr>
          </w:p>
        </w:tc>
      </w:tr>
      <w:tr>
        <w:trPr>
          <w:trHeight w:val="219"/>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Production costs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245,670</w:t>
            </w:r>
          </w:p>
        </w:tc>
        <w:tc>
          <w:tcPr>
            <w:tcW w:w="0" w:type="dxa"/>
            <w:vAlign w:val="bottom"/>
          </w:tcPr>
          <w:p>
            <w:pPr>
              <w:spacing w:after="0"/>
              <w:rPr>
                <w:sz w:val="1"/>
                <w:szCs w:val="1"/>
                <w:color w:val="auto"/>
              </w:rPr>
            </w:pPr>
          </w:p>
        </w:tc>
      </w:tr>
      <w:tr>
        <w:trPr>
          <w:trHeight w:val="213"/>
        </w:trPr>
        <w:tc>
          <w:tcPr>
            <w:tcW w:w="60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38,794</w:t>
            </w:r>
          </w:p>
        </w:tc>
        <w:tc>
          <w:tcPr>
            <w:tcW w:w="0" w:type="dxa"/>
            <w:vAlign w:val="bottom"/>
          </w:tcPr>
          <w:p>
            <w:pPr>
              <w:spacing w:after="0"/>
              <w:rPr>
                <w:sz w:val="1"/>
                <w:szCs w:val="1"/>
                <w:color w:val="auto"/>
              </w:rPr>
            </w:pPr>
          </w:p>
        </w:tc>
      </w:tr>
      <w:tr>
        <w:trPr>
          <w:trHeight w:val="219"/>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28,858</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64,449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127,517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104,142</w:t>
            </w:r>
          </w:p>
        </w:tc>
        <w:tc>
          <w:tcPr>
            <w:tcW w:w="0" w:type="dxa"/>
            <w:vAlign w:val="bottom"/>
          </w:tcPr>
          <w:p>
            <w:pPr>
              <w:spacing w:after="0"/>
              <w:rPr>
                <w:sz w:val="1"/>
                <w:szCs w:val="1"/>
                <w:color w:val="auto"/>
              </w:rPr>
            </w:pPr>
          </w:p>
        </w:tc>
      </w:tr>
      <w:tr>
        <w:trPr>
          <w:trHeight w:val="212"/>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245,317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482,903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417,464</w:t>
            </w:r>
          </w:p>
        </w:tc>
        <w:tc>
          <w:tcPr>
            <w:tcW w:w="0" w:type="dxa"/>
            <w:vAlign w:val="bottom"/>
          </w:tcPr>
          <w:p>
            <w:pPr>
              <w:spacing w:after="0"/>
              <w:rPr>
                <w:sz w:val="1"/>
                <w:szCs w:val="1"/>
                <w:color w:val="auto"/>
              </w:rPr>
            </w:pPr>
          </w:p>
        </w:tc>
      </w:tr>
      <w:tr>
        <w:trPr>
          <w:trHeight w:val="207"/>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(35,214)</w:t>
            </w:r>
          </w:p>
        </w:tc>
        <w:tc>
          <w:tcPr>
            <w:tcW w:w="0" w:type="dxa"/>
            <w:vAlign w:val="bottom"/>
          </w:tcPr>
          <w:p>
            <w:pPr>
              <w:spacing w:after="0"/>
              <w:rPr>
                <w:sz w:val="1"/>
                <w:szCs w:val="1"/>
                <w:color w:val="auto"/>
              </w:rPr>
            </w:pPr>
          </w:p>
        </w:tc>
      </w:tr>
      <w:tr>
        <w:trPr>
          <w:trHeight w:val="219"/>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expenses, net</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(107,543)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(83,875)</w:t>
            </w:r>
          </w:p>
        </w:tc>
        <w:tc>
          <w:tcPr>
            <w:tcW w:w="0" w:type="dxa"/>
            <w:vAlign w:val="bottom"/>
          </w:tcPr>
          <w:p>
            <w:pPr>
              <w:spacing w:after="0"/>
              <w:rPr>
                <w:sz w:val="1"/>
                <w:szCs w:val="1"/>
                <w:color w:val="auto"/>
              </w:rPr>
            </w:pPr>
          </w:p>
        </w:tc>
      </w:tr>
      <w:tr>
        <w:trPr>
          <w:trHeight w:val="207"/>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(68,167)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(119,089)</w:t>
            </w:r>
          </w:p>
        </w:tc>
        <w:tc>
          <w:tcPr>
            <w:tcW w:w="0" w:type="dxa"/>
            <w:vAlign w:val="bottom"/>
          </w:tcPr>
          <w:p>
            <w:pPr>
              <w:spacing w:after="0"/>
              <w:rPr>
                <w:sz w:val="1"/>
                <w:szCs w:val="1"/>
                <w:color w:val="auto"/>
              </w:rPr>
            </w:pPr>
          </w:p>
        </w:tc>
      </w:tr>
      <w:tr>
        <w:trPr>
          <w:trHeight w:val="219"/>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11,673</w:t>
            </w:r>
          </w:p>
        </w:tc>
        <w:tc>
          <w:tcPr>
            <w:tcW w:w="0" w:type="dxa"/>
            <w:vAlign w:val="bottom"/>
          </w:tcPr>
          <w:p>
            <w:pPr>
              <w:spacing w:after="0"/>
              <w:rPr>
                <w:sz w:val="1"/>
                <w:szCs w:val="1"/>
                <w:color w:val="auto"/>
              </w:rPr>
            </w:pPr>
          </w:p>
        </w:tc>
      </w:tr>
      <w:tr>
        <w:trPr>
          <w:trHeight w:val="207"/>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Including Noncontrolling Interests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(82,679)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(114,341)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(130,762)</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(38,494)</w:t>
            </w:r>
          </w:p>
        </w:tc>
        <w:tc>
          <w:tcPr>
            <w:tcW w:w="0" w:type="dxa"/>
            <w:vAlign w:val="bottom"/>
          </w:tcPr>
          <w:p>
            <w:pPr>
              <w:spacing w:after="0"/>
              <w:rPr>
                <w:sz w:val="1"/>
                <w:szCs w:val="1"/>
                <w:color w:val="auto"/>
              </w:rPr>
            </w:pPr>
          </w:p>
        </w:tc>
      </w:tr>
      <w:tr>
        <w:trPr>
          <w:trHeight w:val="212"/>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Pagaya Technologies Ltd.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(74,785)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(31,297)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(96,008)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(92,268)</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per share attributable to Pagaya Technologies Ltd.: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 and Diluted (2)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 and Diluted (2)</w:t>
            </w: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71,765,884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59,609,788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68,113,860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59,386,974</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income from proprietary investments.</w:t>
      </w:r>
    </w:p>
    <w:p>
      <w:pPr>
        <w:spacing w:after="0" w:line="32"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amounts have been retroactively adjusted to reflect the 1-for-12 reverse share split effected on March 8, 2024.</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45"/>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6"/>
        </w:trPr>
        <w:tc>
          <w:tcPr>
            <w:tcW w:w="740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 (UNAUDITED)</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2"/>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89"/>
        </w:trPr>
        <w:tc>
          <w:tcPr>
            <w:tcW w:w="11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24"/>
                <w:szCs w:val="24"/>
                <w:color w:val="auto"/>
              </w:rPr>
            </w:pPr>
          </w:p>
        </w:tc>
        <w:tc>
          <w:tcPr>
            <w:tcW w:w="232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1160" w:type="dxa"/>
            <w:vAlign w:val="bottom"/>
            <w:tcBorders>
              <w:bottom w:val="single" w:sz="8" w:color="CCEEFF"/>
            </w:tcBorders>
          </w:tcPr>
          <w:p>
            <w:pPr>
              <w:spacing w:after="0"/>
              <w:rPr>
                <w:sz w:val="18"/>
                <w:szCs w:val="18"/>
                <w:color w:val="auto"/>
              </w:rPr>
            </w:pPr>
          </w:p>
        </w:tc>
        <w:tc>
          <w:tcPr>
            <w:tcW w:w="49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Including Noncontrolling Interests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(130,762)</w:t>
            </w:r>
          </w:p>
        </w:tc>
      </w:tr>
      <w:tr>
        <w:trPr>
          <w:trHeight w:val="21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gain (loss) on securities available for sale, net</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(67,094)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22,827</w:t>
            </w:r>
          </w:p>
        </w:tc>
      </w:tr>
      <w:tr>
        <w:trPr>
          <w:trHeight w:val="20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 Including Noncontrolling Interests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(128,242)</w:t>
            </w:r>
          </w:p>
        </w:tc>
        <w:tc>
          <w:tcPr>
            <w:tcW w:w="8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(25,104)</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(181,435)</w:t>
            </w:r>
          </w:p>
        </w:tc>
        <w:tc>
          <w:tcPr>
            <w:tcW w:w="8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(107,935)</w:t>
            </w:r>
          </w:p>
        </w:tc>
      </w:tr>
      <w:tr>
        <w:trPr>
          <w:trHeight w:val="216"/>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(18,343)</w:t>
            </w:r>
          </w:p>
        </w:tc>
      </w:tr>
      <w:tr>
        <w:trPr>
          <w:trHeight w:val="212"/>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 Attributable to Pagaya Technologies Ltd.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(121,556)</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(28,075)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(167,502)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(89,592)</w:t>
            </w:r>
          </w:p>
        </w:tc>
      </w:tr>
      <w:tr>
        <w:trPr>
          <w:trHeight w:val="21"/>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32" w:lineRule="exact"/>
        <w:rPr>
          <w:sz w:val="20"/>
          <w:szCs w:val="20"/>
          <w:color w:val="auto"/>
        </w:rPr>
      </w:pPr>
    </w:p>
    <w:p>
      <w:pPr>
        <w:ind w:right="540"/>
        <w:spacing w:after="0" w:line="272" w:lineRule="auto"/>
        <w:rPr>
          <w:sz w:val="20"/>
          <w:szCs w:val="20"/>
          <w:color w:val="auto"/>
        </w:rPr>
      </w:pPr>
      <w:r>
        <w:rPr>
          <w:rFonts w:ascii="Times New Roman" w:cs="Times New Roman" w:eastAsia="Times New Roman" w:hAnsi="Times New Roman"/>
          <w:sz w:val="16"/>
          <w:szCs w:val="16"/>
          <w:b w:val="1"/>
          <w:bCs w:val="1"/>
          <w:color w:val="auto"/>
        </w:rPr>
        <w:t>CONDENSED CONSOLIDATED STATEMENT OF CHANGES IN REDEEMABLE CONVERTIBLE PREFERRED SHARES AND SHAREHOLDERS’ EQUITY (UNAUDITED)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 Pagaya</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72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16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Technologies</w:t>
            </w:r>
          </w:p>
        </w:tc>
        <w:tc>
          <w:tcPr>
            <w:tcW w:w="120" w:type="dxa"/>
            <w:vAlign w:val="bottom"/>
          </w:tcPr>
          <w:p>
            <w:pPr>
              <w:spacing w:after="0"/>
              <w:rPr>
                <w:sz w:val="14"/>
                <w:szCs w:val="14"/>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80" w:type="dxa"/>
            <w:vAlign w:val="bottom"/>
          </w:tcPr>
          <w:p>
            <w:pPr>
              <w:spacing w:after="0"/>
              <w:rPr>
                <w:sz w:val="14"/>
                <w:szCs w:val="14"/>
                <w:color w:val="auto"/>
              </w:rPr>
            </w:pPr>
          </w:p>
        </w:tc>
        <w:tc>
          <w:tcPr>
            <w:tcW w:w="760" w:type="dxa"/>
            <w:vAlign w:val="bottom"/>
            <w:vMerge w:val="restart"/>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720" w:type="dxa"/>
            <w:vAlign w:val="bottom"/>
            <w:gridSpan w:val="5"/>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Preferred Shares</w:t>
            </w:r>
          </w:p>
        </w:tc>
        <w:tc>
          <w:tcPr>
            <w:tcW w:w="1640" w:type="dxa"/>
            <w:vAlign w:val="bottom"/>
            <w:gridSpan w:val="5"/>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(Class A and Class B)</w:t>
            </w:r>
          </w:p>
        </w:tc>
        <w:tc>
          <w:tcPr>
            <w:tcW w:w="8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Ltd.</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20" w:type="dxa"/>
            <w:vAlign w:val="bottom"/>
            <w:gridSpan w:val="3"/>
            <w:vMerge w:val="restart"/>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20" w:type="dxa"/>
            <w:vAlign w:val="bottom"/>
            <w:gridSpan w:val="3"/>
            <w:vMerge w:val="restart"/>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4"/>
                <w:szCs w:val="4"/>
                <w:color w:val="auto"/>
              </w:rPr>
            </w:pPr>
          </w:p>
        </w:tc>
        <w:tc>
          <w:tcPr>
            <w:tcW w:w="1020" w:type="dxa"/>
            <w:vAlign w:val="bottom"/>
            <w:gridSpan w:val="2"/>
            <w:vMerge w:val="restart"/>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880" w:type="dxa"/>
            <w:vAlign w:val="bottom"/>
            <w:gridSpan w:val="3"/>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940" w:type="dxa"/>
            <w:vAlign w:val="bottom"/>
            <w:gridSpan w:val="2"/>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34"/>
        </w:trPr>
        <w:tc>
          <w:tcPr>
            <w:tcW w:w="2080" w:type="dxa"/>
            <w:vAlign w:val="bottom"/>
          </w:tcPr>
          <w:p>
            <w:pPr>
              <w:spacing w:after="0"/>
              <w:rPr>
                <w:sz w:val="2"/>
                <w:szCs w:val="2"/>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Shares (1)</w:t>
            </w:r>
          </w:p>
        </w:tc>
        <w:tc>
          <w:tcPr>
            <w:tcW w:w="10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vMerge w:val="restart"/>
          </w:tcPr>
          <w:p>
            <w:pPr>
              <w:spacing w:after="0"/>
              <w:rPr>
                <w:sz w:val="2"/>
                <w:szCs w:val="2"/>
                <w:color w:val="auto"/>
              </w:rPr>
            </w:pPr>
          </w:p>
        </w:tc>
        <w:tc>
          <w:tcPr>
            <w:tcW w:w="8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Shares (1)</w:t>
            </w:r>
          </w:p>
        </w:tc>
        <w:tc>
          <w:tcPr>
            <w:tcW w:w="8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March 31,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70,602,363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1,214,969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(24,279)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(563,860)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626,830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99,081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725,911</w:t>
            </w:r>
          </w:p>
        </w:tc>
        <w:tc>
          <w:tcPr>
            <w:tcW w:w="0" w:type="dxa"/>
            <w:vAlign w:val="bottom"/>
          </w:tcPr>
          <w:p>
            <w:pPr>
              <w:spacing w:after="0"/>
              <w:rPr>
                <w:sz w:val="1"/>
                <w:szCs w:val="1"/>
                <w:color w:val="auto"/>
              </w:rPr>
            </w:pPr>
          </w:p>
        </w:tc>
      </w:tr>
      <w:tr>
        <w:trPr>
          <w:trHeight w:val="116"/>
        </w:trPr>
        <w:tc>
          <w:tcPr>
            <w:tcW w:w="208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172,305</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share options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821,023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20,093</w:t>
            </w: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ordinary shares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Return of capital to interests in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(2,803)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(2,803)</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(46,771)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(45,563)</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(74,785)</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(74,785)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(7,894)</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(82,679)</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June 30,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71,595,691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1,235,677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(638,645)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525,982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615,574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December 31,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62,043,246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1,101,914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(542,637)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559,721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106,028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665,749</w:t>
            </w:r>
          </w:p>
        </w:tc>
        <w:tc>
          <w:tcPr>
            <w:tcW w:w="0" w:type="dxa"/>
            <w:vAlign w:val="bottom"/>
          </w:tcPr>
          <w:p>
            <w:pPr>
              <w:spacing w:after="0"/>
              <w:rPr>
                <w:sz w:val="1"/>
                <w:szCs w:val="1"/>
                <w:color w:val="auto"/>
              </w:rPr>
            </w:pPr>
          </w:p>
        </w:tc>
      </w:tr>
      <w:tr>
        <w:trPr>
          <w:trHeight w:val="116"/>
        </w:trPr>
        <w:tc>
          <w:tcPr>
            <w:tcW w:w="208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272,918</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759</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759</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759</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share options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1,481,470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37,710</w:t>
            </w:r>
          </w:p>
        </w:tc>
        <w:tc>
          <w:tcPr>
            <w:tcW w:w="0" w:type="dxa"/>
            <w:vAlign w:val="bottom"/>
          </w:tcPr>
          <w:p>
            <w:pPr>
              <w:spacing w:after="0"/>
              <w:rPr>
                <w:sz w:val="1"/>
                <w:szCs w:val="1"/>
                <w:color w:val="auto"/>
              </w:rPr>
            </w:pPr>
          </w:p>
        </w:tc>
      </w:tr>
      <w:tr>
        <w:trPr>
          <w:trHeight w:val="143"/>
        </w:trPr>
        <w:tc>
          <w:tcPr>
            <w:tcW w:w="20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ordinary shares, net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89,956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89,956</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cost of $5,312</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ordinary shares from the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 Financing Purchase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298,057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5,338</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Agreement</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Contributions of interests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2,815</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Return of capital to interests in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(5,318)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(5,318)</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(67,094)</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(96,008)</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(96,008)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(18,333)</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(114,341)</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June 30,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71,595,691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1,235,677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(638,645)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525,982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615,574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132016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0165" cy="13716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-1988185</wp:posOffset>
            </wp:positionV>
            <wp:extent cx="514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-1988185</wp:posOffset>
            </wp:positionV>
            <wp:extent cx="514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-1988185</wp:posOffset>
            </wp:positionV>
            <wp:extent cx="514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-1988185</wp:posOffset>
            </wp:positionV>
            <wp:extent cx="514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-2108200</wp:posOffset>
            </wp:positionV>
            <wp:extent cx="132016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0165" cy="13716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-3488055</wp:posOffset>
            </wp:positionV>
            <wp:extent cx="514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-3488055</wp:posOffset>
            </wp:positionV>
            <wp:extent cx="514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-3488055</wp:posOffset>
            </wp:positionV>
            <wp:extent cx="514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-3488055</wp:posOffset>
            </wp:positionV>
            <wp:extent cx="514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 Pagaya</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7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162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Technologies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840" w:type="dxa"/>
            <w:vAlign w:val="bottom"/>
            <w:gridSpan w:val="3"/>
            <w:vMerge w:val="restart"/>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4"/>
                <w:szCs w:val="4"/>
                <w:color w:val="auto"/>
              </w:rPr>
            </w:pPr>
          </w:p>
        </w:tc>
        <w:tc>
          <w:tcPr>
            <w:tcW w:w="94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4"/>
                <w:szCs w:val="4"/>
                <w:color w:val="auto"/>
              </w:rPr>
            </w:pPr>
          </w:p>
        </w:tc>
        <w:tc>
          <w:tcPr>
            <w:tcW w:w="86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4"/>
                <w:szCs w:val="4"/>
                <w:color w:val="auto"/>
              </w:rPr>
            </w:pPr>
          </w:p>
        </w:tc>
        <w:tc>
          <w:tcPr>
            <w:tcW w:w="102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Ltd.</w:t>
            </w:r>
          </w:p>
        </w:tc>
        <w:tc>
          <w:tcPr>
            <w:tcW w:w="100" w:type="dxa"/>
            <w:vAlign w:val="bottom"/>
          </w:tcPr>
          <w:p>
            <w:pPr>
              <w:spacing w:after="0"/>
              <w:rPr>
                <w:sz w:val="4"/>
                <w:szCs w:val="4"/>
                <w:color w:val="auto"/>
              </w:rPr>
            </w:pPr>
          </w:p>
        </w:tc>
        <w:tc>
          <w:tcPr>
            <w:tcW w:w="76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Non-</w:t>
            </w:r>
          </w:p>
        </w:tc>
        <w:tc>
          <w:tcPr>
            <w:tcW w:w="180" w:type="dxa"/>
            <w:vAlign w:val="bottom"/>
          </w:tcPr>
          <w:p>
            <w:pPr>
              <w:spacing w:after="0"/>
              <w:rPr>
                <w:sz w:val="4"/>
                <w:szCs w:val="4"/>
                <w:color w:val="auto"/>
              </w:rPr>
            </w:pPr>
          </w:p>
        </w:tc>
        <w:tc>
          <w:tcPr>
            <w:tcW w:w="760" w:type="dxa"/>
            <w:vAlign w:val="bottom"/>
            <w:vMerge w:val="restart"/>
          </w:tcPr>
          <w:p>
            <w:pPr>
              <w:jc w:val="center"/>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1640" w:type="dxa"/>
            <w:vAlign w:val="bottom"/>
            <w:gridSpan w:val="4"/>
            <w:vMerge w:val="restart"/>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80" w:type="dxa"/>
            <w:vAlign w:val="bottom"/>
            <w:vMerge w:val="restart"/>
          </w:tcPr>
          <w:p>
            <w:pPr>
              <w:spacing w:after="0"/>
              <w:rPr>
                <w:sz w:val="7"/>
                <w:szCs w:val="7"/>
                <w:color w:val="auto"/>
              </w:rPr>
            </w:pPr>
          </w:p>
        </w:tc>
        <w:tc>
          <w:tcPr>
            <w:tcW w:w="15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80" w:type="dxa"/>
            <w:vAlign w:val="bottom"/>
            <w:vMerge w:val="restart"/>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100" w:type="dxa"/>
            <w:vAlign w:val="bottom"/>
          </w:tcPr>
          <w:p>
            <w:pPr>
              <w:spacing w:after="0"/>
              <w:rPr>
                <w:sz w:val="8"/>
                <w:szCs w:val="8"/>
                <w:color w:val="auto"/>
              </w:rPr>
            </w:pPr>
          </w:p>
        </w:tc>
        <w:tc>
          <w:tcPr>
            <w:tcW w:w="16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5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20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4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0" w:type="dxa"/>
            <w:vAlign w:val="bottom"/>
            <w:gridSpan w:val="3"/>
          </w:tcPr>
          <w:p>
            <w:pPr>
              <w:jc w:val="center"/>
              <w:ind w:right="80"/>
              <w:spacing w:after="0" w:line="10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8"/>
                <w:szCs w:val="8"/>
                <w:color w:val="auto"/>
              </w:rPr>
            </w:pPr>
          </w:p>
        </w:tc>
        <w:tc>
          <w:tcPr>
            <w:tcW w:w="1020" w:type="dxa"/>
            <w:vAlign w:val="bottom"/>
            <w:gridSpan w:val="2"/>
          </w:tcPr>
          <w:p>
            <w:pPr>
              <w:jc w:val="center"/>
              <w:ind w:right="180"/>
              <w:spacing w:after="0" w:line="103"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860" w:type="dxa"/>
            <w:vAlign w:val="bottom"/>
            <w:gridSpan w:val="3"/>
          </w:tcPr>
          <w:p>
            <w:pPr>
              <w:jc w:val="center"/>
              <w:ind w:right="80"/>
              <w:spacing w:after="0" w:line="103"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940" w:type="dxa"/>
            <w:vAlign w:val="bottom"/>
            <w:gridSpan w:val="2"/>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Shares (1)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Shares (1)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March 31, 2023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58,672,769</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1,004,346</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(475,170)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527,917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188,523</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716,440</w:t>
            </w:r>
          </w:p>
        </w:tc>
        <w:tc>
          <w:tcPr>
            <w:tcW w:w="0" w:type="dxa"/>
            <w:vAlign w:val="bottom"/>
          </w:tcPr>
          <w:p>
            <w:pPr>
              <w:spacing w:after="0"/>
              <w:rPr>
                <w:sz w:val="1"/>
                <w:szCs w:val="1"/>
                <w:color w:val="auto"/>
              </w:rPr>
            </w:pPr>
          </w:p>
        </w:tc>
      </w:tr>
      <w:tr>
        <w:trPr>
          <w:trHeight w:val="116"/>
        </w:trPr>
        <w:tc>
          <w:tcPr>
            <w:tcW w:w="210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preferred shares, net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8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costs of $$750</w:t>
            </w: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1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194,154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0" w:type="dxa"/>
            <w:vAlign w:val="bottom"/>
          </w:tcPr>
          <w:p>
            <w:pPr>
              <w:spacing w:after="0"/>
              <w:rPr>
                <w:sz w:val="1"/>
                <w:szCs w:val="1"/>
                <w:color w:val="auto"/>
              </w:rPr>
            </w:pPr>
          </w:p>
        </w:tc>
      </w:tr>
      <w:tr>
        <w:trPr>
          <w:trHeight w:val="18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 of share options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1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208,829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22,395</w:t>
            </w:r>
          </w:p>
        </w:tc>
        <w:tc>
          <w:tcPr>
            <w:tcW w:w="0" w:type="dxa"/>
            <w:vAlign w:val="bottom"/>
          </w:tcPr>
          <w:p>
            <w:pPr>
              <w:spacing w:after="0"/>
              <w:rPr>
                <w:sz w:val="1"/>
                <w:szCs w:val="1"/>
                <w:color w:val="auto"/>
              </w:rPr>
            </w:pPr>
          </w:p>
        </w:tc>
      </w:tr>
      <w:tr>
        <w:trPr>
          <w:trHeight w:val="136"/>
        </w:trPr>
        <w:tc>
          <w:tcPr>
            <w:tcW w:w="21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Contributions of interests in</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5,165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5,165</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1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Return of capital to interests in</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(16,719)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(16,719)</w:t>
            </w:r>
          </w:p>
        </w:tc>
        <w:tc>
          <w:tcPr>
            <w:tcW w:w="0" w:type="dxa"/>
            <w:vAlign w:val="bottom"/>
          </w:tcPr>
          <w:p>
            <w:pPr>
              <w:spacing w:after="0"/>
              <w:rPr>
                <w:sz w:val="1"/>
                <w:szCs w:val="1"/>
                <w:color w:val="auto"/>
              </w:rPr>
            </w:pPr>
          </w:p>
        </w:tc>
      </w:tr>
      <w:tr>
        <w:trPr>
          <w:trHeight w:val="18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3,222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7,035</w:t>
            </w: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(31,297)</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(32,139)</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June 30,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59,075,752</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1,027,687</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1,963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(506,467)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523,183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179,940</w:t>
            </w:r>
          </w:p>
        </w:tc>
        <w:tc>
          <w:tcPr>
            <w:tcW w:w="80" w:type="dxa"/>
            <w:vAlign w:val="bottom"/>
          </w:tcPr>
          <w:p>
            <w:pPr>
              <w:spacing w:after="0"/>
              <w:rPr>
                <w:sz w:val="16"/>
                <w:szCs w:val="16"/>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703,123</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December 31, 2022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56,942,632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968,432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(414,199)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553,520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211,903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765,423</w:t>
            </w: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16,304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 of warrants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1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365,763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share options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1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235,908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1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preferred shares, net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costs of $750</w:t>
            </w: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39,691</w:t>
            </w:r>
          </w:p>
        </w:tc>
        <w:tc>
          <w:tcPr>
            <w:tcW w:w="0" w:type="dxa"/>
            <w:vAlign w:val="bottom"/>
          </w:tcPr>
          <w:p>
            <w:pPr>
              <w:spacing w:after="0"/>
              <w:rPr>
                <w:sz w:val="1"/>
                <w:szCs w:val="1"/>
                <w:color w:val="auto"/>
              </w:rPr>
            </w:pPr>
          </w:p>
        </w:tc>
      </w:tr>
      <w:tr>
        <w:trPr>
          <w:trHeight w:val="136"/>
        </w:trPr>
        <w:tc>
          <w:tcPr>
            <w:tcW w:w="21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ordinary shares in</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connection with the acquisition of</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1,515,145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18,134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18,134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18,134</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Darwin Homes, Inc.</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Reclassification of investments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18,341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16,460</w:t>
            </w:r>
          </w:p>
        </w:tc>
        <w:tc>
          <w:tcPr>
            <w:tcW w:w="0" w:type="dxa"/>
            <w:vAlign w:val="bottom"/>
          </w:tcPr>
          <w:p>
            <w:pPr>
              <w:spacing w:after="0"/>
              <w:rPr>
                <w:sz w:val="1"/>
                <w:szCs w:val="1"/>
                <w:color w:val="auto"/>
              </w:rPr>
            </w:pPr>
          </w:p>
        </w:tc>
      </w:tr>
      <w:tr>
        <w:trPr>
          <w:trHeight w:val="136"/>
        </w:trPr>
        <w:tc>
          <w:tcPr>
            <w:tcW w:w="21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Contributions of interests in</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15,293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15,293</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1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Return of capital to interests in</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(28,913)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(28,913)</w:t>
            </w:r>
          </w:p>
        </w:tc>
        <w:tc>
          <w:tcPr>
            <w:tcW w:w="0" w:type="dxa"/>
            <w:vAlign w:val="bottom"/>
          </w:tcPr>
          <w:p>
            <w:pPr>
              <w:spacing w:after="0"/>
              <w:rPr>
                <w:sz w:val="1"/>
                <w:szCs w:val="1"/>
                <w:color w:val="auto"/>
              </w:rPr>
            </w:pPr>
          </w:p>
        </w:tc>
      </w:tr>
      <w:tr>
        <w:trPr>
          <w:trHeight w:val="18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4,557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6,367</w:t>
            </w: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(92,268)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(92,268)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(38,494)</w:t>
            </w:r>
          </w:p>
        </w:tc>
        <w:tc>
          <w:tcPr>
            <w:tcW w:w="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(130,762)</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June 30,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59,075,752</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1,027,687</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1,963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(506,467)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523,183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179,940</w:t>
            </w:r>
          </w:p>
        </w:tc>
        <w:tc>
          <w:tcPr>
            <w:tcW w:w="80" w:type="dxa"/>
            <w:vAlign w:val="bottom"/>
          </w:tcPr>
          <w:p>
            <w:pPr>
              <w:spacing w:after="0"/>
              <w:rPr>
                <w:sz w:val="16"/>
                <w:szCs w:val="16"/>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703,123</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3284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8420" cy="1543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-2313940</wp:posOffset>
            </wp:positionV>
            <wp:extent cx="5143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-2313940</wp:posOffset>
            </wp:positionV>
            <wp:extent cx="514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-2313940</wp:posOffset>
            </wp:positionV>
            <wp:extent cx="5143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-2313940</wp:posOffset>
            </wp:positionV>
            <wp:extent cx="5143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13284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84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-2596515</wp:posOffset>
            </wp:positionV>
            <wp:extent cx="13284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8420" cy="1543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-4122420</wp:posOffset>
            </wp:positionV>
            <wp:extent cx="514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-4122420</wp:posOffset>
            </wp:positionV>
            <wp:extent cx="13284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8420" cy="171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-4122420</wp:posOffset>
            </wp:positionV>
            <wp:extent cx="5143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-4122420</wp:posOffset>
            </wp:positionV>
            <wp:extent cx="5143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-4122420</wp:posOffset>
            </wp:positionV>
            <wp:extent cx="5143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Share amounts have been retroactively adjusted to reflect the 1-for-12 reverse share split effected on March 8, 2024.</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7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82"/>
        </w:trPr>
        <w:tc>
          <w:tcPr>
            <w:tcW w:w="8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6"/>
        </w:trPr>
        <w:tc>
          <w:tcPr>
            <w:tcW w:w="8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2"/>
        </w:trPr>
        <w:tc>
          <w:tcPr>
            <w:tcW w:w="8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9"/>
        </w:trPr>
        <w:tc>
          <w:tcPr>
            <w:tcW w:w="116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1160" w:type="dxa"/>
            <w:vAlign w:val="bottom"/>
            <w:tcBorders>
              <w:bottom w:val="single" w:sz="8" w:color="CCEEFF"/>
            </w:tcBorders>
          </w:tcPr>
          <w:p>
            <w:pPr>
              <w:spacing w:after="0"/>
              <w:rPr>
                <w:sz w:val="18"/>
                <w:szCs w:val="18"/>
                <w:color w:val="auto"/>
              </w:rPr>
            </w:pPr>
          </w:p>
        </w:tc>
        <w:tc>
          <w:tcPr>
            <w:tcW w:w="7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loss including noncontrolling interests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(114,341)</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(130,762)</w:t>
            </w:r>
          </w:p>
        </w:tc>
      </w:tr>
      <w:tr>
        <w:trPr>
          <w:trHeight w:val="219"/>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Equity method income (loss)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19"/>
        </w:trPr>
        <w:tc>
          <w:tcPr>
            <w:tcW w:w="8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7,984</w:t>
            </w:r>
          </w:p>
        </w:tc>
      </w:tr>
      <w:tr>
        <w:trPr>
          <w:trHeight w:val="213"/>
        </w:trPr>
        <w:tc>
          <w:tcPr>
            <w:tcW w:w="8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36,575</w:t>
            </w:r>
          </w:p>
        </w:tc>
      </w:tr>
      <w:tr>
        <w:trPr>
          <w:trHeight w:val="219"/>
        </w:trPr>
        <w:tc>
          <w:tcPr>
            <w:tcW w:w="8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Fair value adjustment to warrant liability</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r>
      <w:tr>
        <w:trPr>
          <w:trHeight w:val="213"/>
        </w:trPr>
        <w:tc>
          <w:tcPr>
            <w:tcW w:w="8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Impairment loss on investments in loans and securities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78,327</w:t>
            </w:r>
          </w:p>
        </w:tc>
      </w:tr>
      <w:tr>
        <w:trPr>
          <w:trHeight w:val="219"/>
        </w:trPr>
        <w:tc>
          <w:tcPr>
            <w:tcW w:w="8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Write-off of capitalized software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r>
      <w:tr>
        <w:trPr>
          <w:trHeight w:val="213"/>
        </w:trPr>
        <w:tc>
          <w:tcPr>
            <w:tcW w:w="8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 non-cash items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9"/>
        </w:trPr>
        <w:tc>
          <w:tcPr>
            <w:tcW w:w="8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7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Fees and other receivables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(7,602)</w:t>
            </w:r>
          </w:p>
        </w:tc>
      </w:tr>
      <w:tr>
        <w:trPr>
          <w:trHeight w:val="219"/>
        </w:trPr>
        <w:tc>
          <w:tcPr>
            <w:tcW w:w="8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87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4,587</w:t>
            </w:r>
          </w:p>
        </w:tc>
      </w:tr>
      <w:tr>
        <w:trPr>
          <w:trHeight w:val="219"/>
        </w:trPr>
        <w:tc>
          <w:tcPr>
            <w:tcW w:w="8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Right-of-use assets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4,619</w:t>
            </w:r>
          </w:p>
        </w:tc>
      </w:tr>
      <w:tr>
        <w:trPr>
          <w:trHeight w:val="213"/>
        </w:trPr>
        <w:tc>
          <w:tcPr>
            <w:tcW w:w="87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r>
      <w:tr>
        <w:trPr>
          <w:trHeight w:val="219"/>
        </w:trPr>
        <w:tc>
          <w:tcPr>
            <w:tcW w:w="8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(21,395)</w:t>
            </w:r>
          </w:p>
        </w:tc>
      </w:tr>
      <w:tr>
        <w:trPr>
          <w:trHeight w:val="213"/>
        </w:trPr>
        <w:tc>
          <w:tcPr>
            <w:tcW w:w="87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w:t>
            </w:r>
          </w:p>
        </w:tc>
      </w:tr>
      <w:tr>
        <w:trPr>
          <w:trHeight w:val="219"/>
        </w:trPr>
        <w:tc>
          <w:tcPr>
            <w:tcW w:w="8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tax receivable / payable</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r>
      <w:tr>
        <w:trPr>
          <w:trHeight w:val="207"/>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35,961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(25,513)</w:t>
            </w:r>
          </w:p>
        </w:tc>
      </w:tr>
      <w:tr>
        <w:trPr>
          <w:trHeight w:val="19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the sale/maturity/prepayment of:</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Investments in loans and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91,360</w:t>
            </w:r>
          </w:p>
        </w:tc>
      </w:tr>
      <w:tr>
        <w:trPr>
          <w:trHeight w:val="213"/>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and restricted cash acquired from Darwin Homes, Inc.</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the purchase of:</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Investments in loans and securities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(273,339)</w:t>
            </w:r>
          </w:p>
        </w:tc>
      </w:tr>
      <w:tr>
        <w:trPr>
          <w:trHeight w:val="219"/>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(10,496)</w:t>
            </w:r>
          </w:p>
        </w:tc>
      </w:tr>
      <w:tr>
        <w:trPr>
          <w:trHeight w:val="213"/>
        </w:trPr>
        <w:tc>
          <w:tcPr>
            <w:tcW w:w="8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Equity method and other investments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(351,287)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(190,867)</w:t>
            </w:r>
          </w:p>
        </w:tc>
      </w:tr>
      <w:tr>
        <w:trPr>
          <w:trHeight w:val="194"/>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8"/>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ordinary shares, net of issuance costs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redeemable convertible preferred shares, net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74,250</w:t>
            </w:r>
          </w:p>
        </w:tc>
      </w:tr>
      <w:tr>
        <w:trPr>
          <w:trHeight w:val="213"/>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secured borrowing</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192,420</w:t>
            </w:r>
          </w:p>
        </w:tc>
      </w:tr>
      <w:tr>
        <w:trPr>
          <w:trHeight w:val="219"/>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received from noncontrolling interests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15,293</w:t>
            </w:r>
          </w:p>
        </w:tc>
      </w:tr>
      <w:tr>
        <w:trPr>
          <w:trHeight w:val="213"/>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19"/>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r>
      <w:tr>
        <w:trPr>
          <w:trHeight w:val="213"/>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issuance of ordinary shares from the Equity Financing Purchase Agreement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made to noncontrolling interests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(28,913)</w:t>
            </w:r>
          </w:p>
        </w:tc>
      </w:tr>
      <w:tr>
        <w:trPr>
          <w:trHeight w:val="213"/>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Payments made to revolving credit facility</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19"/>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made to secured borrowing</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(115,471)</w:t>
            </w:r>
          </w:p>
        </w:tc>
      </w:tr>
      <w:tr>
        <w:trPr>
          <w:trHeight w:val="213"/>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Payments made to long-term debt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issuance costs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Settlement of share-based compensation in satisfaction of tax withholding requirements</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12"/>
        </w:trPr>
        <w:tc>
          <w:tcPr>
            <w:tcW w:w="8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362,434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213,359</w:t>
            </w:r>
          </w:p>
        </w:tc>
      </w:tr>
      <w:tr>
        <w:trPr>
          <w:trHeight w:val="207"/>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(2,687)</w:t>
            </w:r>
          </w:p>
        </w:tc>
      </w:tr>
      <w:tr>
        <w:trPr>
          <w:trHeight w:val="212"/>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(5,708)</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222,541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-6651625</wp:posOffset>
            </wp:positionV>
            <wp:extent cx="55289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28945" cy="171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7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8720" w:type="dxa"/>
            <w:vAlign w:val="bottom"/>
            <w:tcBorders>
              <w:bottom w:val="single" w:sz="8" w:color="CCEEFF"/>
            </w:tcBorders>
            <w:gridSpan w:val="2"/>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267,926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331,368</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gridSpan w:val="2"/>
            <w:vMerge w:val="restart"/>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within the consolidated balance sheet to the amounts shown 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7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the statements of cash flow above: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304,047</w:t>
            </w:r>
          </w:p>
        </w:tc>
        <w:tc>
          <w:tcPr>
            <w:tcW w:w="0" w:type="dxa"/>
            <w:vAlign w:val="bottom"/>
          </w:tcPr>
          <w:p>
            <w:pPr>
              <w:spacing w:after="0"/>
              <w:rPr>
                <w:sz w:val="1"/>
                <w:szCs w:val="1"/>
                <w:color w:val="auto"/>
              </w:rPr>
            </w:pPr>
          </w:p>
        </w:tc>
      </w:tr>
      <w:tr>
        <w:trPr>
          <w:trHeight w:val="213"/>
        </w:trPr>
        <w:tc>
          <w:tcPr>
            <w:tcW w:w="8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Restricted cash - current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22,540</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Restricted cash - non-current</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16,864</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w:t>
            </w:r>
          </w:p>
        </w:tc>
        <w:tc>
          <w:tcPr>
            <w:tcW w:w="0" w:type="dxa"/>
            <w:vAlign w:val="bottom"/>
          </w:tcPr>
          <w:p>
            <w:pPr>
              <w:spacing w:after="0"/>
              <w:rPr>
                <w:sz w:val="1"/>
                <w:szCs w:val="1"/>
                <w:color w:val="auto"/>
              </w:rPr>
            </w:pPr>
          </w:p>
        </w:tc>
      </w:tr>
      <w:tr>
        <w:trPr>
          <w:trHeight w:val="212"/>
        </w:trPr>
        <w:tc>
          <w:tcPr>
            <w:tcW w:w="8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267,926</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331,368</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DESCRIPTION</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Pagaya Technologies Ltd. and its consolidated subsidiaries (together “we” “our” “Pagaya” or the “Company”) is a technology company that deploys sophisticated data science and proprietary AI technology to drive better results for financial services and other service providers, their customers, and asset investors. Services providers integrated with Pagaya’s network, which are referred to as “Partners,” range from high-growth financial technology companies to incumbent banks and financial institutions, auto finance providers and residential real estate service providers. Partners have access to Pagaya’s network in order to assist with extending financial products to their customers, in turn helping those customers fulfill their financial needs and dreams. These assets originated by Partners with the assistance of Pagaya’s AI technology are eligible to be acquired by (i) funds managed or advised by Pagaya or one of its affiliates, (ii) securitization vehicles sponsored or administered by Pagaya or one of its affiliates and (iii) other similar vehicles (“Financing Vehicles”).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Pagaya Technologies Ltd. was founded in 2016 and is organized under the laws of the State of Israel. Pagaya has its primary offices in the United States and Israel.</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Reverse Share Split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 amounts have been retrospectively adjusted to reflect the 1-for-12 reverse share split effected on March 8, 2024.</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conformity with accounting principles generally accepted in the United States of America (“U.S. GAAP”) and include the accounts of the Company, its wholly-owned subsidiaries, and consolidated variable interest entities (“VIEs”) if any.</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were derived from the audited consolidated financial statements, but does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the related notes thereto as of and for the year ended December 31, 2023 included in the Company’s Annual Report on Form 10-K.</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All intercompany accounts and transactions have been eliminated. The Company’s functional and reporting currency is the U.S. Dollar. In management’s opinion, the unaudited condensed consolidated financial statements have been prepared on the same basis as the annual consolidated financial statements, except as noted below, and reflect all adjustments, which include only normal recurring adjustments necessary for the fair presentation of the Company’s financial position as of June 30, 2024 and the Company’s consolidated results of operations and shareholders’ equity for the three and six months ended June 30, 2024 and 2023, and cash flows for the six months ended June 30, 2024 and 2023. The results for the three and six months ended June 30, 2024 are not necessarily indicative of the results to be expected for the full year ending December 31, 2024 or any other future interim or annual period.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26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There were no material changes to our significant accounting policies as disclosed in Note 2, Summary of Significant Accounting Policies, in the Company’s Annual Report on Form 10-K for the year ended December 31, 2023, which was filed with the SEC on April 25,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 Not Yet Adopted</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9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In November 2023, the FASB issued ASU 2023-07, Segment Reporting (Topic 280): Improvements to Reportable Segment Disclosures. The amendments in this update improve reportable segment disclosure requirements, primarily through enhanced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disclosures about significant segment expenses. Specifically, the new guidance requires disclosure, on an annual and interim basis, of significant segment expenses that are regularly provided to the chief operating decision maker, and an amount for other segment items by reportable segment, with a description of its composition. In addition, the amendments enhance interim disclosure requirements, clarify circumstances in which an entity can disclose multiple segment measures of profit or loss, and provide new segment disclosure requirements for entities with a single reportable segment. This ASU is effective for the Company beginning in fiscal year 2024 and interim periods within fiscal year 2025, with early adoption permitted. The Company is currently evaluating the impact of the amendments to its consolidated financial statements and related disclosures.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Improvements to Income Tax Disclosures. The amendments in this update require entities to disclose specific categories in the effective tax rate reconciliation and provide 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This ASU is effective for the Company for annual periods beginning after December 15, 2025, with early adoption permitted. The Company is currently evaluating the impact of these amendments on its consolidated financial statements and related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 Adopted</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instruments. The guidance removes certain accounting models that separate the embedded conversion features from the host contract for convertible instruments. Either a modified retrospective method of transition or a fully retrospective method of transition is permissible for the adoption of this standard. The guidance became effective for the Company beginning January 1, 2024. The adoption of the guidance did not have a material impact on the Company’s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REVENUE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From Fees</w:t>
      </w: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Revenue from fees is comprised of Network AI fees and Contract fees. Network AI fees can be further broken down into two fee streams: AI integration fees and capital markets execution fees. AI integration fees are earned for the creation and delivery of assets that comprise Network Volume. The Company utilizes multiple funding channels to enable the purchase of network assets from Partners, such as asset backed securitizations (“ABS”). Capital markets execution fees are earned from the market pricing of ABS transactions while contract fees are management, performance and similar fees. These fees are the result of agreements with customers and are recognized in accordance with FASB Accounting Standards Codification 606, “Revenue from Contracts with Customers” (“ASC 606”).</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Revenue is generally recognized on a gross basis in accordance with ASC 606 related to reporting revenue on a gross basis as a principal versus on a net basis as an agent. This is because the Company is primarily responsible for integrating the various services fulfilled by Partners and is ultimately responsible to the Financing Vehicles for the fulfillment of the related services. To the extent the Company does not meet the criteria for recognizing revenue on a gross basis, the Company records revenue on a net basis.</w:t>
      </w:r>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Network AI fees, comprised of AI integration fees and capital markets execution fees, totaled $221.8 million and $167.5 million for the three months ended June 30, 2024 and 2023, respectively, and $437.1 million and $321.5 million for the six months ended June 30, 2024 and 2023, respectively. The Company recognizes Network AI fees primarily at a point in time when the related performance obligation is satisfied. From time to time the Company may provide certain incentives to Financing Vehicles. When the Company determines that an incentive is consideration payable to a customer, the incentive is recorded as a reduction of revenue. Expenses to third parties for services that are integrated with the Company’s technology are recorded in the consolidated statements of operations as Production Costs.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Real estate fees, which are included in Network AI fees, are earned for the obligations to arrange for the purchase of real estate assets, provide administrative services, arrange for the eventual sale of the assets, and provide pre-and post-purchase services including the right to earn performance fees. All of these fees are recognized over time except for the purchase and sale obligations, which are satisfied at the point in time of the respective transactions. As the Company is a principal for these services, revenues are recorded on a gross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Contract fees include administration and management fees, performances fees, and servicing fees. Contract fees totaled $20.8 million and $18.2 million for the three months ended June 30, 2024 and 2023, respectively, and $42.5 million and $39.4 million for the six months ended June 30, 2024 and 2023, respectively. The Company recognizes administration fees over the service period for the Financing Vehicles managed or administered by the Company.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Performance fees are earned when certain Financing Vehicles exceed contractual return thresholds. They are recognized only to the extent that it is probable that a significant reversal in the amount of cumulative revenue recognized will not occur. An estimate is made by the Company based on a variety of factors including market conditions and expected loan performance. In the following period, the true performance is measured and then adjusted to ensure that the fees accurately represent actual performance. As such, there are revenues that result from performance obligations satisfied in the previous year. During the three months ended June 30, 2024, $0.1 million worth of fees represent performance obligations satisfied in 2023 that were less than the original estimate. During the six months ended June 30, 2024, $3.2 million worth of fees represent performance obligations satisfied in 2023 that were greater than the original estimate. During the three and six months ended June 30, 2023, $0.0 million and $1.7 million, respectively, worth of fees represent performance obligations satisfied in 2022 that were lesser than the original estimate.</w:t>
      </w:r>
    </w:p>
    <w:p>
      <w:pPr>
        <w:spacing w:after="0" w:line="1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Servicing fees for the Financing Vehicles, which primarily involve collecting payments and providing reporting on the loans within the securitization vehicles, are recognized over the service period. These duties have been considered to be agent responsibilities and does not include acting as a loan servicer. Accordingly, servicing fees are recorded on a net basis.</w:t>
      </w:r>
    </w:p>
    <w:p>
      <w:pPr>
        <w:spacing w:after="0" w:line="11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determines its contracts generally to not include a significant financing component since the Company's selling prices are not subjected to billing terms nor is its purpose to receive financing from its customers or to provide customers with financing. In addition, as a practical expedient, the Company does not adjust the transaction price for the effects of a significant financing component if, at contract inception, the period between payment and the transfer of services is expected to be one year or less.</w:t>
      </w:r>
    </w:p>
    <w:p>
      <w:pPr>
        <w:spacing w:after="0" w:line="10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Once revenue is recognized, it is recorded on the balance sheet in fees and other receivables until the payment is received from the customer. The timing of the recognition depends on the type of service as described above.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336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Pr>
          <w:p>
            <w:pPr>
              <w:spacing w:after="0"/>
              <w:rPr>
                <w:sz w:val="18"/>
                <w:szCs w:val="18"/>
                <w:color w:val="auto"/>
              </w:rPr>
            </w:pPr>
          </w:p>
        </w:tc>
        <w:tc>
          <w:tcPr>
            <w:tcW w:w="272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6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4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transferred at a point in time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228,317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178,070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344,305</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23,707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16,634</w:t>
            </w:r>
          </w:p>
        </w:tc>
      </w:tr>
      <w:tr>
        <w:trPr>
          <w:trHeight w:val="23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 from fees, net</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242,594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185,685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479,598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360,939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had no material contract assets, contract liabilities, or deferred contract costs recorded as of June 30, 2024 or December 31, 2023.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Concentrations of Credit Risk and Significant Customers</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Financial instruments, which potentially subject the Company to concentration of credit risk, consist primarily of cash and cash equivalents, restricted cash and fees receivable. Cash and cash equivalents are principally maintained with major financial institutions, which management assesses to be of high credit quality. The Company has not experienced any losses on these deposits.</w:t>
      </w:r>
    </w:p>
    <w:p>
      <w:pPr>
        <w:spacing w:after="0" w:line="19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Company’s fees receivable balances are predominantly with agreements with customers, and these are subject to normal credit risks which management believes to be not significant.</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Significant customers are those which represent 10% or more of the Company’s total revenue for each respective period presented. Three customers, including two related parties, individually represented greater than 10% of total revenue and collectively totaled approximately 55% for three months ended June 30, 2024. Two customers, including one related party, individually represented greater than 10% of total revenue and collectively totaled approximately 31% for six months ended June 30, 2024. Four customers, including three related parties, individually represented greater than 10% of total revenue and collectively totaled approximately 65% for the three months ended June 30, 2023. Two related party customers individually represented greater than 10% of total revenue and collectively totaled approximately 33% for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BORROWINGS</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As of June 30, 2024 and December 31, 2023, the Company had secured borrowings, inclusive of current and non-current portions, with an outstanding balance of $400.2 million and $271.7 million, respectively, long-term debt, inclusive of current and non-current portions, with an outstanding balance of $232.6 million and $0.0 million, respectively, and a revolving credit facility with an outstanding balance of $0.0 million and $90.0 million, respectively. The Company was in compliance with all covenants as of June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Retention Master Repurchase</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normal course of business, the Company, through consolidated VIEs, enters into repurchase agreements to finance the Company’s risk retention balance in notes and certificates retained from securitization transactions. Under these agreements, the Company pledges financial instruments as collateral. Our agreements with counterparties generally contain contractual provisions allowing the counterparty the right to sell or repledge the collateral. Pledged securities owned that can be sold or repledge by the counterparty are included in Investments in loans and securities in our balance sheet. As of June 30, 2024 and December 31, 2023, the outstanding principal balance under the repurchase agreements was $367.7 million and $251.4 million, respectively, which is recorded within secured borrowing on the consolidated balance sheet, with a weighted average interest rate of approximately sixteen percent and thirteen percent, respectively. The average remaining contractual maturities of the repurchase agreements were greater than 90 days as of both June 30, 2024 and December 31,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Receivables Facility</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October 2022, Pagaya Receivables LLC, a wholly-owned subsidiary, entered into a Loan and Security Agreement (the “LSA Agreement”) with certain lenders, which provides for a 3-year loan facility (the “Receivables Facility”) in a maximum principal amount of $22 million to finance certain eligible receivables purchased from sponsored securitization transactions. In June 2023, the Company amended the agreement and increased the maximum principal amount by $10 million to $32 million. In June 2024, the Company amended the agreement pursuant to which the maximum principal amount was increased from $32 million to $45 million and the term was extended until June 2026. Borrowings under the Receivables Facility bear interest at a rate per annum equal to the adjusted term Secured Overnight Financing Rate (subject to a 0.00% floor) plus a margin of 3.50%, and the balance is repaid using cash proceeds received from the receivables. As of June 30, 2024 and December 31, 2023, the outstanding principal balance under the Receivables Facility was $32.5 million and $20.3 million, respectively, which is recorded within secured borrowing on the consolidated balance sheet.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Agreement</w:t>
      </w:r>
    </w:p>
    <w:p>
      <w:pPr>
        <w:spacing w:after="0" w:line="2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On February 2, 2024, the Company entered into a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w:t>
      </w:r>
    </w:p>
    <w:p>
      <w:pPr>
        <w:spacing w:after="0" w:line="19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Facilities replace the SVB Revolving Credit Facility. In addition to replacing the SVB Revolving Credit Facility, proceeds of borrowings under the Facilities may be used for general corporate purposes of the Company and its subsidiaries. As of the date of this filing, no borrowings have been made under the Revolving Credit Facility.</w:t>
      </w:r>
    </w:p>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No amortization payments are required to be made in respect of borrowings under the Revolving Credit Facility. Amortization payments are required to be made in respect of the term loans under the Term Loan Facility in amount of 1.25% per quarter of the original principal amount of the term loans under the Term Loan Facility.</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Borrowings under the Facilities bear interest at a rate per annum equal to, at the Company’s option, (i) a base rate (determined based on the prime rate and subject to a 2.00% floor) plus a margin of 6.50% or (ii) an adjusted term Secured Overnight Financing Rate (subject to a 1.00% floor) plus a margin of 7.50%. A commitment fee accrues on any unused portion of the commitments under the Revolving Credit Facility at a rate per annum of 0.25% and is payable quarterly in arrears. Accrued interest of $7.6 million was recorded within accrued expenses and other liabilities on the unaudited condensed consolidated balance sheet as of June 30, 2024.</w:t>
      </w:r>
    </w:p>
    <w:p>
      <w:pPr>
        <w:spacing w:after="0" w:line="23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June 30, 2024, the Company had an outstanding balance of $232.6 million, which is recorded within long-term debt on the unaudited condensed consolidated balance sheet, and its aggregate future maturities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625"/>
        </w:trPr>
        <w:tc>
          <w:tcPr>
            <w:tcW w:w="1160" w:type="dxa"/>
            <w:vAlign w:val="bottom"/>
            <w:tcBorders>
              <w:top w:val="single" w:sz="8" w:color="0000FF"/>
              <w:bottom w:val="single" w:sz="8" w:color="CCEEFF"/>
            </w:tcBorders>
          </w:tcPr>
          <w:p>
            <w:pPr>
              <w:spacing w:after="0"/>
              <w:rPr>
                <w:sz w:val="24"/>
                <w:szCs w:val="24"/>
                <w:color w:val="auto"/>
              </w:rPr>
            </w:pPr>
          </w:p>
        </w:tc>
        <w:tc>
          <w:tcPr>
            <w:tcW w:w="76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3"/>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6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w:t>
            </w: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w:t>
            </w: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12,750</w:t>
            </w: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w:t>
            </w: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12,750</w:t>
            </w:r>
          </w:p>
        </w:tc>
      </w:tr>
      <w:tr>
        <w:trPr>
          <w:trHeight w:val="213"/>
        </w:trPr>
        <w:tc>
          <w:tcPr>
            <w:tcW w:w="8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191,250</w:t>
            </w:r>
          </w:p>
        </w:tc>
      </w:tr>
      <w:tr>
        <w:trPr>
          <w:trHeight w:val="212"/>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248,625</w:t>
            </w:r>
          </w:p>
        </w:tc>
      </w:tr>
      <w:tr>
        <w:trPr>
          <w:trHeight w:val="213"/>
        </w:trPr>
        <w:tc>
          <w:tcPr>
            <w:tcW w:w="8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(16,033)</w:t>
            </w:r>
          </w:p>
        </w:tc>
      </w:tr>
      <w:tr>
        <w:trPr>
          <w:trHeight w:val="237"/>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 net of debt issuance costs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232,592</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As of June 30, 2024, the Company had letters of credit issued in the amount of $19.8 million, and $15.2 million of remaining capacity available under the Revolving Credit Facility.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2023, the Company had an outstanding balance of $90.0 million under the SVB Revolving Credit Facility.</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INVESTMENTS IN LOANS AND SECURITIES</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amortized cost, gross unrealized gains and losses, allowance for credit losses, and fair value of investments in loans and securities as of June 30, 2024 and December 31, 2023 were as follows (in thousands). As provided in Note 6, a portion of these investments in loans and securities are consolidated as a result of the Company’s determination that it is the primary beneficiary of certain VIEs.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loans and securities,</w:t>
            </w:r>
          </w:p>
        </w:tc>
        <w:tc>
          <w:tcPr>
            <w:tcW w:w="260" w:type="dxa"/>
            <w:vAlign w:val="bottom"/>
          </w:tcPr>
          <w:p>
            <w:pPr>
              <w:spacing w:after="0"/>
              <w:rPr>
                <w:sz w:val="13"/>
                <w:szCs w:val="13"/>
                <w:color w:val="auto"/>
              </w:rPr>
            </w:pPr>
          </w:p>
        </w:tc>
        <w:tc>
          <w:tcPr>
            <w:tcW w:w="14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440" w:type="dxa"/>
            <w:vAlign w:val="bottom"/>
            <w:gridSpan w:val="2"/>
          </w:tcPr>
          <w:p>
            <w:pPr>
              <w:ind w:left="320"/>
              <w:spacing w:after="0" w:line="158" w:lineRule="exact"/>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3"/>
                <w:szCs w:val="13"/>
                <w:color w:val="auto"/>
              </w:rPr>
            </w:pPr>
          </w:p>
        </w:tc>
        <w:tc>
          <w:tcPr>
            <w:tcW w:w="15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340" w:type="dxa"/>
            <w:vAlign w:val="bottom"/>
          </w:tcPr>
          <w:p>
            <w:pPr>
              <w:spacing w:after="0"/>
              <w:rPr>
                <w:sz w:val="13"/>
                <w:szCs w:val="13"/>
                <w:color w:val="auto"/>
              </w:rPr>
            </w:pPr>
          </w:p>
        </w:tc>
        <w:tc>
          <w:tcPr>
            <w:tcW w:w="124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62"/>
        </w:trPr>
        <w:tc>
          <w:tcPr>
            <w:tcW w:w="2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4"/>
                <w:szCs w:val="14"/>
                <w:color w:val="auto"/>
              </w:rPr>
            </w:pPr>
          </w:p>
        </w:tc>
        <w:tc>
          <w:tcPr>
            <w:tcW w:w="156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9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available for sale(1):</w:t>
            </w:r>
          </w:p>
        </w:tc>
        <w:tc>
          <w:tcPr>
            <w:tcW w:w="26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4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40" w:type="dxa"/>
            <w:vAlign w:val="bottom"/>
          </w:tcPr>
          <w:p>
            <w:pPr>
              <w:spacing w:after="0"/>
              <w:rPr>
                <w:sz w:val="18"/>
                <w:szCs w:val="18"/>
                <w:color w:val="auto"/>
              </w:rPr>
            </w:pPr>
          </w:p>
        </w:tc>
        <w:tc>
          <w:tcPr>
            <w:tcW w:w="12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249,373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248,686</w:t>
            </w:r>
          </w:p>
        </w:tc>
        <w:tc>
          <w:tcPr>
            <w:tcW w:w="0" w:type="dxa"/>
            <w:vAlign w:val="bottom"/>
          </w:tcPr>
          <w:p>
            <w:pPr>
              <w:spacing w:after="0"/>
              <w:rPr>
                <w:sz w:val="1"/>
                <w:szCs w:val="1"/>
                <w:color w:val="auto"/>
              </w:rPr>
            </w:pPr>
          </w:p>
        </w:tc>
      </w:tr>
      <w:tr>
        <w:trPr>
          <w:trHeight w:val="213"/>
        </w:trPr>
        <w:tc>
          <w:tcPr>
            <w:tcW w:w="2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893,351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658,749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loans and receivables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0" w:type="dxa"/>
            <w:vAlign w:val="bottom"/>
          </w:tcPr>
          <w:p>
            <w:pPr>
              <w:spacing w:after="0"/>
              <w:rPr>
                <w:sz w:val="1"/>
                <w:szCs w:val="1"/>
                <w:color w:val="auto"/>
              </w:rPr>
            </w:pPr>
          </w:p>
        </w:tc>
      </w:tr>
      <w:tr>
        <w:trPr>
          <w:trHeight w:val="212"/>
        </w:trPr>
        <w:tc>
          <w:tcPr>
            <w:tcW w:w="2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1,150,767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13,783</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(74,995)</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(178,130)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911,425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accrued interest receivable of $13.6 million included in Fees and other receivables.</w:t>
      </w:r>
    </w:p>
    <w:p>
      <w:pPr>
        <w:spacing w:after="0" w:line="200" w:lineRule="exact"/>
        <w:rPr>
          <w:sz w:val="20"/>
          <w:szCs w:val="20"/>
          <w:color w:val="auto"/>
        </w:rPr>
      </w:pP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loans and securities,</w:t>
            </w:r>
          </w:p>
        </w:tc>
        <w:tc>
          <w:tcPr>
            <w:tcW w:w="240" w:type="dxa"/>
            <w:vAlign w:val="bottom"/>
          </w:tcPr>
          <w:p>
            <w:pPr>
              <w:spacing w:after="0"/>
              <w:rPr>
                <w:sz w:val="13"/>
                <w:szCs w:val="13"/>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20" w:type="dxa"/>
            <w:vAlign w:val="bottom"/>
          </w:tcPr>
          <w:p>
            <w:pPr>
              <w:jc w:val="right"/>
              <w:ind w:right="519"/>
              <w:spacing w:after="0" w:line="158" w:lineRule="exact"/>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320"/>
              <w:spacing w:after="0" w:line="158" w:lineRule="exact"/>
              <w:rPr>
                <w:sz w:val="20"/>
                <w:szCs w:val="20"/>
                <w:color w:val="auto"/>
              </w:rPr>
            </w:pPr>
            <w:r>
              <w:rPr>
                <w:rFonts w:ascii="Times New Roman" w:cs="Times New Roman" w:eastAsia="Times New Roman" w:hAnsi="Times New Roman"/>
                <w:sz w:val="16"/>
                <w:szCs w:val="16"/>
                <w:b w:val="1"/>
                <w:bCs w:val="1"/>
                <w:color w:val="auto"/>
              </w:rPr>
              <w:t>Gross</w:t>
            </w:r>
          </w:p>
        </w:tc>
        <w:tc>
          <w:tcPr>
            <w:tcW w:w="16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340" w:type="dxa"/>
            <w:vAlign w:val="bottom"/>
          </w:tcPr>
          <w:p>
            <w:pPr>
              <w:spacing w:after="0"/>
              <w:rPr>
                <w:sz w:val="13"/>
                <w:szCs w:val="13"/>
                <w:color w:val="auto"/>
              </w:rPr>
            </w:pPr>
          </w:p>
        </w:tc>
        <w:tc>
          <w:tcPr>
            <w:tcW w:w="122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62"/>
        </w:trPr>
        <w:tc>
          <w:tcPr>
            <w:tcW w:w="2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339"/>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available for sale(1):</w:t>
            </w:r>
          </w:p>
        </w:tc>
        <w:tc>
          <w:tcPr>
            <w:tcW w:w="2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4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4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28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91,654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90,425</w:t>
            </w:r>
          </w:p>
        </w:tc>
        <w:tc>
          <w:tcPr>
            <w:tcW w:w="0" w:type="dxa"/>
            <w:vAlign w:val="bottom"/>
          </w:tcPr>
          <w:p>
            <w:pPr>
              <w:spacing w:after="0"/>
              <w:rPr>
                <w:sz w:val="1"/>
                <w:szCs w:val="1"/>
                <w:color w:val="auto"/>
              </w:rPr>
            </w:pPr>
          </w:p>
        </w:tc>
      </w:tr>
      <w:tr>
        <w:trPr>
          <w:trHeight w:val="213"/>
        </w:trPr>
        <w:tc>
          <w:tcPr>
            <w:tcW w:w="2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715,646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624,073</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loans and receivables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0" w:type="dxa"/>
            <w:vAlign w:val="bottom"/>
          </w:tcPr>
          <w:p>
            <w:pPr>
              <w:spacing w:after="0"/>
              <w:rPr>
                <w:sz w:val="1"/>
                <w:szCs w:val="1"/>
                <w:color w:val="auto"/>
              </w:rPr>
            </w:pPr>
          </w:p>
        </w:tc>
      </w:tr>
      <w:tr>
        <w:trPr>
          <w:trHeight w:val="210"/>
        </w:trPr>
        <w:tc>
          <w:tcPr>
            <w:tcW w:w="2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811,874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(100,958)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716,793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 Excludes accrued interest receivable of $12.5 million included in Fees and other receivables.</w:t>
      </w:r>
    </w:p>
    <w:p>
      <w:pPr>
        <w:spacing w:after="0" w:line="39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tables set forth the fair value and gross unrealized losses on investments in loans and securities without an allowance for credit losses aggregated by investment category and length of time that individual securities had been in a continuous unrealized loss position, as of the dates indicated (in thousands):</w:t>
      </w:r>
    </w:p>
    <w:p>
      <w:pPr>
        <w:sectPr>
          <w:pgSz w:w="11900" w:h="16838" w:orient="portrait"/>
          <w:cols w:equalWidth="0" w:num="1">
            <w:col w:w="11240"/>
          </w:cols>
          <w:pgMar w:left="320" w:top="8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180" w:type="dxa"/>
            <w:vAlign w:val="bottom"/>
          </w:tcPr>
          <w:p>
            <w:pPr>
              <w:spacing w:after="0"/>
              <w:rPr>
                <w:sz w:val="18"/>
                <w:szCs w:val="18"/>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4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6"/>
                <w:szCs w:val="16"/>
                <w:b w:val="1"/>
                <w:bCs w:val="1"/>
                <w:color w:val="auto"/>
              </w:rPr>
              <w:t>Investments in loans and securities, available for</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59"/>
              <w:spacing w:after="0" w:line="159"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79"/>
              <w:spacing w:after="0" w:line="159"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9"/>
              <w:spacing w:after="0" w:line="159"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sale:</w:t>
            </w: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(1,156)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41,340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13"/>
        </w:trPr>
        <w:tc>
          <w:tcPr>
            <w:tcW w:w="35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(11,452)</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loans and receivables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41,272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(1,156)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54,972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180" w:type="dxa"/>
            <w:vAlign w:val="bottom"/>
          </w:tcPr>
          <w:p>
            <w:pPr>
              <w:spacing w:after="0"/>
              <w:rPr>
                <w:sz w:val="18"/>
                <w:szCs w:val="18"/>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4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6"/>
                <w:szCs w:val="16"/>
                <w:b w:val="1"/>
                <w:bCs w:val="1"/>
                <w:color w:val="auto"/>
              </w:rPr>
              <w:t>Investments in loans and securities, available for</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59"/>
              <w:spacing w:after="0" w:line="159"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79"/>
              <w:spacing w:after="0" w:line="159"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9"/>
              <w:spacing w:after="0" w:line="159"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sale:</w:t>
            </w: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0" w:type="dxa"/>
            <w:vAlign w:val="bottom"/>
          </w:tcPr>
          <w:p>
            <w:pPr>
              <w:spacing w:after="0"/>
              <w:rPr>
                <w:sz w:val="1"/>
                <w:szCs w:val="1"/>
                <w:color w:val="auto"/>
              </w:rPr>
            </w:pPr>
          </w:p>
        </w:tc>
      </w:tr>
      <w:tr>
        <w:trPr>
          <w:trHeight w:val="213"/>
        </w:trPr>
        <w:tc>
          <w:tcPr>
            <w:tcW w:w="35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0" w:type="dxa"/>
            <w:vAlign w:val="bottom"/>
          </w:tcPr>
          <w:p>
            <w:pPr>
              <w:spacing w:after="0"/>
              <w:rPr>
                <w:sz w:val="1"/>
                <w:szCs w:val="1"/>
                <w:color w:val="auto"/>
              </w:rPr>
            </w:pPr>
          </w:p>
        </w:tc>
      </w:tr>
      <w:tr>
        <w:trPr>
          <w:trHeight w:val="219"/>
        </w:trPr>
        <w:tc>
          <w:tcPr>
            <w:tcW w:w="3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loans and receivables</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75,724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75,724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(3,846)</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amortized cost and fair value of investments in loans and securities by contractual maturities, as of the date indicated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60" w:type="dxa"/>
            <w:vAlign w:val="bottom"/>
            <w:gridSpan w:val="4"/>
            <w:vMerge w:val="restart"/>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5"/>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300" w:type="dxa"/>
            <w:vAlign w:val="bottom"/>
          </w:tcPr>
          <w:p>
            <w:pPr>
              <w:spacing w:after="0"/>
              <w:rPr>
                <w:sz w:val="13"/>
                <w:szCs w:val="13"/>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540" w:type="dxa"/>
            <w:vAlign w:val="bottom"/>
          </w:tcPr>
          <w:p>
            <w:pPr>
              <w:ind w:left="80"/>
              <w:spacing w:after="0" w:line="146" w:lineRule="exact"/>
              <w:rPr>
                <w:sz w:val="20"/>
                <w:szCs w:val="20"/>
                <w:color w:val="auto"/>
              </w:rPr>
            </w:pPr>
            <w:r>
              <w:rPr>
                <w:rFonts w:ascii="Times New Roman" w:cs="Times New Roman" w:eastAsia="Times New Roman" w:hAnsi="Times New Roman"/>
                <w:sz w:val="16"/>
                <w:szCs w:val="16"/>
                <w:b w:val="1"/>
                <w:bCs w:val="1"/>
                <w:color w:val="auto"/>
              </w:rPr>
              <w:t>Investments in loans and securities, available for</w:t>
            </w: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Pr>
          <w:p>
            <w:pPr>
              <w:spacing w:after="0"/>
              <w:rPr>
                <w:sz w:val="12"/>
                <w:szCs w:val="12"/>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Pr>
          <w:p>
            <w:pPr>
              <w:spacing w:after="0"/>
              <w:rPr>
                <w:sz w:val="12"/>
                <w:szCs w:val="12"/>
                <w:color w:val="auto"/>
              </w:rPr>
            </w:pPr>
          </w:p>
        </w:tc>
        <w:tc>
          <w:tcPr>
            <w:tcW w:w="10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sale:</w:t>
            </w:r>
          </w:p>
        </w:tc>
        <w:tc>
          <w:tcPr>
            <w:tcW w:w="13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247,677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249,373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248,686</w:t>
            </w:r>
          </w:p>
        </w:tc>
        <w:tc>
          <w:tcPr>
            <w:tcW w:w="0" w:type="dxa"/>
            <w:vAlign w:val="bottom"/>
          </w:tcPr>
          <w:p>
            <w:pPr>
              <w:spacing w:after="0"/>
              <w:rPr>
                <w:sz w:val="1"/>
                <w:szCs w:val="1"/>
                <w:color w:val="auto"/>
              </w:rPr>
            </w:pPr>
          </w:p>
        </w:tc>
      </w:tr>
      <w:tr>
        <w:trPr>
          <w:trHeight w:val="21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892,618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658,095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893,351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658,749</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loans and receivables</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0" w:type="dxa"/>
            <w:vAlign w:val="bottom"/>
          </w:tcPr>
          <w:p>
            <w:pPr>
              <w:spacing w:after="0"/>
              <w:rPr>
                <w:sz w:val="1"/>
                <w:szCs w:val="1"/>
                <w:color w:val="auto"/>
              </w:rPr>
            </w:pPr>
          </w:p>
        </w:tc>
      </w:tr>
      <w:tr>
        <w:trPr>
          <w:trHeight w:val="212"/>
        </w:trPr>
        <w:tc>
          <w:tcPr>
            <w:tcW w:w="3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(1)</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1,149,384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909,762</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1,150,767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911,425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7"/>
        </w:trPr>
        <w:tc>
          <w:tcPr>
            <w:tcW w:w="35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60" w:type="dxa"/>
            <w:vAlign w:val="bottom"/>
            <w:gridSpan w:val="4"/>
            <w:vMerge w:val="restart"/>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5"/>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300" w:type="dxa"/>
            <w:vAlign w:val="bottom"/>
          </w:tcPr>
          <w:p>
            <w:pPr>
              <w:spacing w:after="0"/>
              <w:rPr>
                <w:sz w:val="13"/>
                <w:szCs w:val="13"/>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540" w:type="dxa"/>
            <w:vAlign w:val="bottom"/>
          </w:tcPr>
          <w:p>
            <w:pPr>
              <w:ind w:left="80"/>
              <w:spacing w:after="0" w:line="146" w:lineRule="exact"/>
              <w:rPr>
                <w:sz w:val="20"/>
                <w:szCs w:val="20"/>
                <w:color w:val="auto"/>
              </w:rPr>
            </w:pPr>
            <w:r>
              <w:rPr>
                <w:rFonts w:ascii="Times New Roman" w:cs="Times New Roman" w:eastAsia="Times New Roman" w:hAnsi="Times New Roman"/>
                <w:sz w:val="16"/>
                <w:szCs w:val="16"/>
                <w:b w:val="1"/>
                <w:bCs w:val="1"/>
                <w:color w:val="auto"/>
              </w:rPr>
              <w:t>Investments in loans and securities, available for</w:t>
            </w: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Pr>
          <w:p>
            <w:pPr>
              <w:spacing w:after="0"/>
              <w:rPr>
                <w:sz w:val="12"/>
                <w:szCs w:val="12"/>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Pr>
          <w:p>
            <w:pPr>
              <w:spacing w:after="0"/>
              <w:rPr>
                <w:sz w:val="12"/>
                <w:szCs w:val="12"/>
                <w:color w:val="auto"/>
              </w:rPr>
            </w:pPr>
          </w:p>
        </w:tc>
        <w:tc>
          <w:tcPr>
            <w:tcW w:w="10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sale:</w:t>
            </w:r>
          </w:p>
        </w:tc>
        <w:tc>
          <w:tcPr>
            <w:tcW w:w="13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88,038</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91,654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90,425</w:t>
            </w:r>
          </w:p>
        </w:tc>
        <w:tc>
          <w:tcPr>
            <w:tcW w:w="0" w:type="dxa"/>
            <w:vAlign w:val="bottom"/>
          </w:tcPr>
          <w:p>
            <w:pPr>
              <w:spacing w:after="0"/>
              <w:rPr>
                <w:sz w:val="1"/>
                <w:szCs w:val="1"/>
                <w:color w:val="auto"/>
              </w:rPr>
            </w:pPr>
          </w:p>
        </w:tc>
      </w:tr>
      <w:tr>
        <w:trPr>
          <w:trHeight w:val="21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623,970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715,646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624,073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loans and receivables</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0" w:type="dxa"/>
            <w:vAlign w:val="bottom"/>
          </w:tcPr>
          <w:p>
            <w:pPr>
              <w:spacing w:after="0"/>
              <w:rPr>
                <w:sz w:val="1"/>
                <w:szCs w:val="1"/>
                <w:color w:val="auto"/>
              </w:rPr>
            </w:pPr>
          </w:p>
        </w:tc>
      </w:tr>
      <w:tr>
        <w:trPr>
          <w:trHeight w:val="212"/>
        </w:trPr>
        <w:tc>
          <w:tcPr>
            <w:tcW w:w="3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(1)</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809,366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714,303</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811,874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716,793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Based on weighted average life of expected cash flows.</w:t>
      </w:r>
    </w:p>
    <w:p>
      <w:pPr>
        <w:spacing w:after="0" w:line="24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following table sets forth gross proceeds and related investment gains (losses), as well as losses on write-downs and the allowance for credit losses of securities, for the periods indicated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5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1160" w:type="dxa"/>
            <w:vAlign w:val="bottom"/>
            <w:tcBorders>
              <w:bottom w:val="single" w:sz="8" w:color="CCEEFF"/>
            </w:tcBorders>
          </w:tcPr>
          <w:p>
            <w:pPr>
              <w:spacing w:after="0"/>
              <w:rPr>
                <w:sz w:val="18"/>
                <w:szCs w:val="18"/>
                <w:color w:val="auto"/>
              </w:rPr>
            </w:pPr>
          </w:p>
        </w:tc>
        <w:tc>
          <w:tcPr>
            <w:tcW w:w="5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6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loans and securities, available for sale:</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Proceeds from sales/maturities/prepayments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65,375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66,822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91,360</w:t>
            </w:r>
          </w:p>
        </w:tc>
      </w:tr>
      <w:tr>
        <w:trPr>
          <w:trHeight w:val="219"/>
        </w:trPr>
        <w:tc>
          <w:tcPr>
            <w:tcW w:w="6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Write-offs charged against the allowance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7,286</w:t>
            </w:r>
          </w:p>
        </w:tc>
      </w:tr>
      <w:tr>
        <w:trPr>
          <w:trHeight w:val="210"/>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Additions to allowance for credit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(79,913)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(85,613)</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set forth the activity in the allowance for credit losses for investments in loans and securities, as of the dates indicated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Securitization notes</w:t>
            </w:r>
          </w:p>
        </w:tc>
        <w:tc>
          <w:tcPr>
            <w:tcW w:w="200" w:type="dxa"/>
            <w:vAlign w:val="bottom"/>
          </w:tcPr>
          <w:p>
            <w:pPr>
              <w:spacing w:after="0"/>
              <w:rPr>
                <w:sz w:val="13"/>
                <w:szCs w:val="13"/>
                <w:color w:val="auto"/>
              </w:rPr>
            </w:pPr>
          </w:p>
        </w:tc>
        <w:tc>
          <w:tcPr>
            <w:tcW w:w="14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Securitization</w:t>
            </w:r>
          </w:p>
        </w:tc>
        <w:tc>
          <w:tcPr>
            <w:tcW w:w="14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Other Loans and</w:t>
            </w:r>
          </w:p>
        </w:tc>
        <w:tc>
          <w:tcPr>
            <w:tcW w:w="340" w:type="dxa"/>
            <w:vAlign w:val="bottom"/>
          </w:tcPr>
          <w:p>
            <w:pPr>
              <w:spacing w:after="0"/>
              <w:rPr>
                <w:sz w:val="13"/>
                <w:szCs w:val="13"/>
                <w:color w:val="auto"/>
              </w:rPr>
            </w:pPr>
          </w:p>
        </w:tc>
        <w:tc>
          <w:tcPr>
            <w:tcW w:w="122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certificates</w:t>
            </w:r>
          </w:p>
        </w:tc>
        <w:tc>
          <w:tcPr>
            <w:tcW w:w="140" w:type="dxa"/>
            <w:vAlign w:val="bottom"/>
          </w:tcPr>
          <w:p>
            <w:pPr>
              <w:spacing w:after="0"/>
              <w:rPr>
                <w:sz w:val="11"/>
                <w:szCs w:val="11"/>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Receivables</w:t>
            </w:r>
          </w:p>
        </w:tc>
        <w:tc>
          <w:tcPr>
            <w:tcW w:w="3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47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(126,360)</w:t>
            </w:r>
          </w:p>
        </w:tc>
        <w:tc>
          <w:tcPr>
            <w:tcW w:w="0" w:type="dxa"/>
            <w:vAlign w:val="bottom"/>
          </w:tcPr>
          <w:p>
            <w:pPr>
              <w:spacing w:after="0"/>
              <w:rPr>
                <w:sz w:val="1"/>
                <w:szCs w:val="1"/>
                <w:color w:val="auto"/>
              </w:rPr>
            </w:pPr>
          </w:p>
        </w:tc>
      </w:tr>
      <w:tr>
        <w:trPr>
          <w:trHeight w:val="213"/>
        </w:trPr>
        <w:tc>
          <w:tcPr>
            <w:tcW w:w="4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Additions to allowance for credit losses not previously recorded</w:t>
            </w:r>
          </w:p>
        </w:tc>
        <w:tc>
          <w:tcPr>
            <w:tcW w:w="10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(23,628)</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Additions to allowance for credit losses arising from purchases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Additions (reductions) on securities with previous allowance</w:t>
            </w:r>
          </w:p>
        </w:tc>
        <w:tc>
          <w:tcPr>
            <w:tcW w:w="10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(29,434)</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Write-offs charged against the allowance</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0" w:type="dxa"/>
            <w:vAlign w:val="bottom"/>
          </w:tcPr>
          <w:p>
            <w:pPr>
              <w:spacing w:after="0"/>
              <w:rPr>
                <w:sz w:val="1"/>
                <w:szCs w:val="1"/>
                <w:color w:val="auto"/>
              </w:rPr>
            </w:pPr>
          </w:p>
        </w:tc>
      </w:tr>
      <w:tr>
        <w:trPr>
          <w:trHeight w:val="210"/>
        </w:trPr>
        <w:tc>
          <w:tcPr>
            <w:tcW w:w="4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(174,077)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(178,130)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4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Securitization notes</w:t>
            </w:r>
          </w:p>
        </w:tc>
        <w:tc>
          <w:tcPr>
            <w:tcW w:w="200" w:type="dxa"/>
            <w:vAlign w:val="bottom"/>
          </w:tcPr>
          <w:p>
            <w:pPr>
              <w:spacing w:after="0"/>
              <w:rPr>
                <w:sz w:val="13"/>
                <w:szCs w:val="13"/>
                <w:color w:val="auto"/>
              </w:rPr>
            </w:pPr>
          </w:p>
        </w:tc>
        <w:tc>
          <w:tcPr>
            <w:tcW w:w="14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Securitization</w:t>
            </w:r>
          </w:p>
        </w:tc>
        <w:tc>
          <w:tcPr>
            <w:tcW w:w="14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Other Loans and</w:t>
            </w:r>
          </w:p>
        </w:tc>
        <w:tc>
          <w:tcPr>
            <w:tcW w:w="340" w:type="dxa"/>
            <w:vAlign w:val="bottom"/>
          </w:tcPr>
          <w:p>
            <w:pPr>
              <w:spacing w:after="0"/>
              <w:rPr>
                <w:sz w:val="13"/>
                <w:szCs w:val="13"/>
                <w:color w:val="auto"/>
              </w:rPr>
            </w:pPr>
          </w:p>
        </w:tc>
        <w:tc>
          <w:tcPr>
            <w:tcW w:w="122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certificates</w:t>
            </w:r>
          </w:p>
        </w:tc>
        <w:tc>
          <w:tcPr>
            <w:tcW w:w="140" w:type="dxa"/>
            <w:vAlign w:val="bottom"/>
          </w:tcPr>
          <w:p>
            <w:pPr>
              <w:spacing w:after="0"/>
              <w:rPr>
                <w:sz w:val="11"/>
                <w:szCs w:val="11"/>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Receivables</w:t>
            </w:r>
          </w:p>
        </w:tc>
        <w:tc>
          <w:tcPr>
            <w:tcW w:w="3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47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(100,958)</w:t>
            </w:r>
          </w:p>
        </w:tc>
        <w:tc>
          <w:tcPr>
            <w:tcW w:w="0" w:type="dxa"/>
            <w:vAlign w:val="bottom"/>
          </w:tcPr>
          <w:p>
            <w:pPr>
              <w:spacing w:after="0"/>
              <w:rPr>
                <w:sz w:val="1"/>
                <w:szCs w:val="1"/>
                <w:color w:val="auto"/>
              </w:rPr>
            </w:pPr>
          </w:p>
        </w:tc>
      </w:tr>
      <w:tr>
        <w:trPr>
          <w:trHeight w:val="213"/>
        </w:trPr>
        <w:tc>
          <w:tcPr>
            <w:tcW w:w="4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Additions to allowance for credit losses not previously recorded</w:t>
            </w:r>
          </w:p>
        </w:tc>
        <w:tc>
          <w:tcPr>
            <w:tcW w:w="10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(26,593)</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Additions to allowance for credit losses arising from purchases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0" w:type="dxa"/>
            <w:vAlign w:val="bottom"/>
          </w:tcPr>
          <w:p>
            <w:pPr>
              <w:spacing w:after="0"/>
              <w:rPr>
                <w:sz w:val="1"/>
                <w:szCs w:val="1"/>
                <w:color w:val="auto"/>
              </w:rPr>
            </w:pPr>
          </w:p>
        </w:tc>
      </w:tr>
      <w:tr>
        <w:trPr>
          <w:trHeight w:val="213"/>
        </w:trPr>
        <w:tc>
          <w:tcPr>
            <w:tcW w:w="4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Additions (reductions) on securities with previous allowance</w:t>
            </w:r>
          </w:p>
        </w:tc>
        <w:tc>
          <w:tcPr>
            <w:tcW w:w="10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(50,074)</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Write-offs charged against the allowance</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0" w:type="dxa"/>
            <w:vAlign w:val="bottom"/>
          </w:tcPr>
          <w:p>
            <w:pPr>
              <w:spacing w:after="0"/>
              <w:rPr>
                <w:sz w:val="1"/>
                <w:szCs w:val="1"/>
                <w:color w:val="auto"/>
              </w:rPr>
            </w:pPr>
          </w:p>
        </w:tc>
      </w:tr>
      <w:tr>
        <w:trPr>
          <w:trHeight w:val="213"/>
        </w:trPr>
        <w:tc>
          <w:tcPr>
            <w:tcW w:w="4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Recoveries of amounts previously written off</w:t>
            </w:r>
          </w:p>
        </w:tc>
        <w:tc>
          <w:tcPr>
            <w:tcW w:w="10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Securitization notes</w:t>
            </w:r>
          </w:p>
        </w:tc>
        <w:tc>
          <w:tcPr>
            <w:tcW w:w="200" w:type="dxa"/>
            <w:vAlign w:val="bottom"/>
          </w:tcPr>
          <w:p>
            <w:pPr>
              <w:spacing w:after="0"/>
              <w:rPr>
                <w:sz w:val="13"/>
                <w:szCs w:val="13"/>
                <w:color w:val="auto"/>
              </w:rPr>
            </w:pPr>
          </w:p>
        </w:tc>
        <w:tc>
          <w:tcPr>
            <w:tcW w:w="14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Securitization</w:t>
            </w:r>
          </w:p>
        </w:tc>
        <w:tc>
          <w:tcPr>
            <w:tcW w:w="14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Other Loans and</w:t>
            </w:r>
          </w:p>
        </w:tc>
        <w:tc>
          <w:tcPr>
            <w:tcW w:w="340" w:type="dxa"/>
            <w:vAlign w:val="bottom"/>
          </w:tcPr>
          <w:p>
            <w:pPr>
              <w:spacing w:after="0"/>
              <w:rPr>
                <w:sz w:val="13"/>
                <w:szCs w:val="13"/>
                <w:color w:val="auto"/>
              </w:rPr>
            </w:pPr>
          </w:p>
        </w:tc>
        <w:tc>
          <w:tcPr>
            <w:tcW w:w="122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certificates</w:t>
            </w:r>
          </w:p>
        </w:tc>
        <w:tc>
          <w:tcPr>
            <w:tcW w:w="140" w:type="dxa"/>
            <w:vAlign w:val="bottom"/>
          </w:tcPr>
          <w:p>
            <w:pPr>
              <w:spacing w:after="0"/>
              <w:rPr>
                <w:sz w:val="11"/>
                <w:szCs w:val="11"/>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Receivables</w:t>
            </w:r>
          </w:p>
        </w:tc>
        <w:tc>
          <w:tcPr>
            <w:tcW w:w="3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47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(68,347)</w:t>
            </w:r>
          </w:p>
        </w:tc>
        <w:tc>
          <w:tcPr>
            <w:tcW w:w="0" w:type="dxa"/>
            <w:vAlign w:val="bottom"/>
          </w:tcPr>
          <w:p>
            <w:pPr>
              <w:spacing w:after="0"/>
              <w:rPr>
                <w:sz w:val="1"/>
                <w:szCs w:val="1"/>
                <w:color w:val="auto"/>
              </w:rPr>
            </w:pPr>
          </w:p>
        </w:tc>
      </w:tr>
      <w:tr>
        <w:trPr>
          <w:trHeight w:val="213"/>
        </w:trPr>
        <w:tc>
          <w:tcPr>
            <w:tcW w:w="4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Additions to allowance for credit losses not previously recorded</w:t>
            </w:r>
          </w:p>
        </w:tc>
        <w:tc>
          <w:tcPr>
            <w:tcW w:w="10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(12,643)</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Write-offs charged against the allowance</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0" w:type="dxa"/>
            <w:vAlign w:val="bottom"/>
          </w:tcPr>
          <w:p>
            <w:pPr>
              <w:spacing w:after="0"/>
              <w:rPr>
                <w:sz w:val="1"/>
                <w:szCs w:val="1"/>
                <w:color w:val="auto"/>
              </w:rPr>
            </w:pPr>
          </w:p>
        </w:tc>
      </w:tr>
      <w:tr>
        <w:trPr>
          <w:trHeight w:val="210"/>
        </w:trPr>
        <w:tc>
          <w:tcPr>
            <w:tcW w:w="4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(74,287)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(78,327)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Securitization notes</w:t>
            </w:r>
          </w:p>
        </w:tc>
        <w:tc>
          <w:tcPr>
            <w:tcW w:w="200" w:type="dxa"/>
            <w:vAlign w:val="bottom"/>
          </w:tcPr>
          <w:p>
            <w:pPr>
              <w:spacing w:after="0"/>
              <w:rPr>
                <w:sz w:val="13"/>
                <w:szCs w:val="13"/>
                <w:color w:val="auto"/>
              </w:rPr>
            </w:pPr>
          </w:p>
        </w:tc>
        <w:tc>
          <w:tcPr>
            <w:tcW w:w="14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Securitization</w:t>
            </w:r>
          </w:p>
        </w:tc>
        <w:tc>
          <w:tcPr>
            <w:tcW w:w="14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Other Loans and</w:t>
            </w:r>
          </w:p>
        </w:tc>
        <w:tc>
          <w:tcPr>
            <w:tcW w:w="340" w:type="dxa"/>
            <w:vAlign w:val="bottom"/>
          </w:tcPr>
          <w:p>
            <w:pPr>
              <w:spacing w:after="0"/>
              <w:rPr>
                <w:sz w:val="13"/>
                <w:szCs w:val="13"/>
                <w:color w:val="auto"/>
              </w:rPr>
            </w:pPr>
          </w:p>
        </w:tc>
        <w:tc>
          <w:tcPr>
            <w:tcW w:w="122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certificates</w:t>
            </w:r>
          </w:p>
        </w:tc>
        <w:tc>
          <w:tcPr>
            <w:tcW w:w="140" w:type="dxa"/>
            <w:vAlign w:val="bottom"/>
          </w:tcPr>
          <w:p>
            <w:pPr>
              <w:spacing w:after="0"/>
              <w:rPr>
                <w:sz w:val="11"/>
                <w:szCs w:val="11"/>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Receivables</w:t>
            </w:r>
          </w:p>
        </w:tc>
        <w:tc>
          <w:tcPr>
            <w:tcW w:w="3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16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47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Additions to allowance for credit losses not previously recorded</w:t>
            </w:r>
          </w:p>
        </w:tc>
        <w:tc>
          <w:tcPr>
            <w:tcW w:w="10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(85,613)</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Write-offs charged against the allowance</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7,286</w:t>
            </w:r>
          </w:p>
        </w:tc>
        <w:tc>
          <w:tcPr>
            <w:tcW w:w="0" w:type="dxa"/>
            <w:vAlign w:val="bottom"/>
          </w:tcPr>
          <w:p>
            <w:pPr>
              <w:spacing w:after="0"/>
              <w:rPr>
                <w:sz w:val="1"/>
                <w:szCs w:val="1"/>
                <w:color w:val="auto"/>
              </w:rPr>
            </w:pPr>
          </w:p>
        </w:tc>
      </w:tr>
      <w:tr>
        <w:trPr>
          <w:trHeight w:val="209"/>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(74,287)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(78,327)</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Method and Other Investments</w:t>
      </w:r>
    </w:p>
    <w:p>
      <w:pPr>
        <w:spacing w:after="0" w:line="15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investments, including those accounted for under the equity method, are included within Equity method and other investments in the consolidated balance sheets as of June 30, 2024 and December 31, 2023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11"/>
        </w:trPr>
        <w:tc>
          <w:tcPr>
            <w:tcW w:w="7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333333"/>
              </w:rPr>
              <w:t>June 30, 2024</w:t>
            </w:r>
          </w:p>
        </w:tc>
        <w:tc>
          <w:tcPr>
            <w:tcW w:w="22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71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Investments in Pagaya SmartResi F1 Fund, LP (1)</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17,357</w:t>
            </w:r>
          </w:p>
        </w:tc>
      </w:tr>
      <w:tr>
        <w:trPr>
          <w:trHeight w:val="213"/>
        </w:trPr>
        <w:tc>
          <w:tcPr>
            <w:tcW w:w="7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(2)</w:t>
            </w: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9,026</w:t>
            </w:r>
          </w:p>
        </w:tc>
      </w:tr>
      <w:tr>
        <w:trPr>
          <w:trHeight w:val="237"/>
        </w:trPr>
        <w:tc>
          <w:tcPr>
            <w:tcW w:w="7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owns approximately 5.4% and is the general partner of Pagaya Smartresi F1 Fund LP.</w:t>
      </w:r>
    </w:p>
    <w:p>
      <w:pPr>
        <w:spacing w:after="0" w:line="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Company’s proprietary investments. Income from these investments is included in Investment income in the consolidated statements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CONSOLIDATION AND VARIABLE INTEREST ENTITIES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has variable interests in securitization vehicles that it sponsors. The Company consolidates VIEs when it is deemed to be the primary beneficiary. In order to be primary beneficiary, the Company must have a controlling financial interest in the VIE. This is determined by evaluating if the Company has both (1) the power to direct the activities of the VIE that most significantly impact the VIE’s economic performance, and (2) the obligation to absorb losses of the VIE that could potentially be significant to the VIE or the right to receive benefits from the VIE that could potentially be significant.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VIEs</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June 30, 2024 and December 31, 2023, the Company has determined that it is the primary beneficiary of Pagaya Structured Holdings LLC, Pagaya Structured Holdings II LLC, and Pagaya Structured Holding III LLC (“Risk Retention Entities”). As sponsor of securitization transactions, the Company is subject to risk retention requirements and established the Risk Retention Entities to meet these requirements.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summary of assets and liabilities from the Company’s involvement with consolidated VIEs (i.e., Risk Retention Entities)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8"/>
                <w:szCs w:val="18"/>
                <w:color w:val="auto"/>
              </w:rPr>
            </w:pP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13"/>
        </w:trPr>
        <w:tc>
          <w:tcPr>
            <w:tcW w:w="6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 of June 30, 2024</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111,185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111,185</w:t>
            </w:r>
          </w:p>
        </w:tc>
      </w:tr>
      <w:tr>
        <w:trPr>
          <w:trHeight w:val="210"/>
        </w:trPr>
        <w:tc>
          <w:tcPr>
            <w:tcW w:w="6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As of December 31, 2023</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132,660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132,660</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Unconsolidated VIEs</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determined that it is not the primary beneficiary of the trusts which hold the loans and issue securities associated with the securitization transactions the Company sponsors. The Company does not have the power to direct or control the activities which most significantly affect the performance of the trusts, which was determined to be servicing loans.</w:t>
      </w:r>
    </w:p>
    <w:p>
      <w:pPr>
        <w:spacing w:after="0" w:line="10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Company’s maximum exposure to loss from its involvement with unconsolidated VIEs represents the estimated loss that would be incurred under severe, hypothetical circumstances, for which the Company believes the possibility is remote,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where the value of securitization notes and senior and residual certificates the Company holds as part of the risk retention requirement declines to zero.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summary of the Company’s direct interest in (i.e., not held through Risk Retention Entities) variable interests in nonconsolidated VIEs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7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Maximum Exposure</w:t>
            </w:r>
          </w:p>
        </w:tc>
        <w:tc>
          <w:tcPr>
            <w:tcW w:w="260" w:type="dxa"/>
            <w:vAlign w:val="bottom"/>
          </w:tcPr>
          <w:p>
            <w:pPr>
              <w:spacing w:after="0"/>
              <w:rPr>
                <w:sz w:val="16"/>
                <w:szCs w:val="16"/>
                <w:color w:val="auto"/>
              </w:rPr>
            </w:pPr>
          </w:p>
        </w:tc>
        <w:tc>
          <w:tcPr>
            <w:tcW w:w="13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VIE Assets</w:t>
            </w:r>
          </w:p>
        </w:tc>
        <w:tc>
          <w:tcPr>
            <w:tcW w:w="0" w:type="dxa"/>
            <w:vAlign w:val="bottom"/>
          </w:tcPr>
          <w:p>
            <w:pPr>
              <w:spacing w:after="0"/>
              <w:rPr>
                <w:sz w:val="1"/>
                <w:szCs w:val="1"/>
                <w:color w:val="auto"/>
              </w:rPr>
            </w:pPr>
          </w:p>
        </w:tc>
      </w:tr>
      <w:tr>
        <w:trPr>
          <w:trHeight w:val="214"/>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to Loss</w:t>
            </w:r>
          </w:p>
        </w:tc>
        <w:tc>
          <w:tcPr>
            <w:tcW w:w="2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 of June 30,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807,029</w:t>
            </w:r>
          </w:p>
        </w:tc>
        <w:tc>
          <w:tcPr>
            <w:tcW w:w="4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807,029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8,548,921</w:t>
            </w:r>
          </w:p>
        </w:tc>
        <w:tc>
          <w:tcPr>
            <w:tcW w:w="0" w:type="dxa"/>
            <w:vAlign w:val="bottom"/>
          </w:tcPr>
          <w:p>
            <w:pPr>
              <w:spacing w:after="0"/>
              <w:rPr>
                <w:sz w:val="1"/>
                <w:szCs w:val="1"/>
                <w:color w:val="auto"/>
              </w:rPr>
            </w:pPr>
          </w:p>
        </w:tc>
      </w:tr>
      <w:tr>
        <w:trPr>
          <w:trHeight w:val="210"/>
        </w:trPr>
        <w:tc>
          <w:tcPr>
            <w:tcW w:w="6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As of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591,030</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591,030</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8,363,402</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From time to time, the Company may, but is not obligated to, purchase assets from the Financing Vehicles. Such repurchases occur at the Company’s discretion. During the three and six months ended June 30, 2024, the Company purchased approximately $14.5 million and $19.5 million, respectively, of loan principal from the Financing Vehicles and included a loss of approximately $13.4 million and $18.4 million, respectively, in general and administrative expenses with respect to these loans. During the three and six months ended June 30, 2023, the Company did not purchase any loans from the Financing Vehicles.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LEASES</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Company leases facilities under operating leases with various expiration dates through 2032. The Company leases office space in New York, Israel and several other locations.</w:t>
      </w:r>
    </w:p>
    <w:p>
      <w:pPr>
        <w:spacing w:after="0" w:line="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security deposits for the leases are $4.0 million and $4.8 million as of June 30, 2024 and December 31, 2023, respectively, which have been recognized as restricted cash, non-current in the unaudited condensed consolidated balance sheets.</w:t>
      </w:r>
    </w:p>
    <w:p>
      <w:pPr>
        <w:spacing w:after="0" w:line="9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Company’s operating lease expense consists of rent and variable lease payments. Variable lease payments such as common area maintenance were included in operating expenses. Rent expense for the Company’s short-term leases was immaterial for the periods presented. Operating lease expense was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6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 expense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6,786</w:t>
            </w: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payments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Sublease income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w:t>
            </w: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Maturities of the Company’s operating lease liabilities as of June 30, 2024 were as follows (in thousands):</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0" w:type="dxa"/>
            <w:vAlign w:val="bottom"/>
            <w:vMerge w:val="restart"/>
          </w:tcPr>
          <w:p>
            <w:pPr>
              <w:spacing w:after="0"/>
              <w:rPr>
                <w:sz w:val="24"/>
                <w:szCs w:val="24"/>
                <w:color w:val="auto"/>
              </w:rPr>
            </w:pPr>
          </w:p>
        </w:tc>
        <w:tc>
          <w:tcPr>
            <w:tcW w:w="9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9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2024</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2025</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9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2026</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2027</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7,333</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9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2028</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6,453</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95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Thereafter</w:t>
            </w: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20,728</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9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56,239</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9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Less: imputed interest</w:t>
            </w: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9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COMMITMENTS AND CONTINGENCIES</w:t>
      </w:r>
    </w:p>
    <w:p>
      <w:pPr>
        <w:spacing w:after="0" w:line="2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Legal Proceedings </w:t>
      </w:r>
      <w:r>
        <w:rPr>
          <w:rFonts w:ascii="Times New Roman" w:cs="Times New Roman" w:eastAsia="Times New Roman" w:hAnsi="Times New Roman"/>
          <w:sz w:val="16"/>
          <w:szCs w:val="16"/>
          <w:color w:val="auto"/>
        </w:rPr>
        <w:t>— From time to time the Company is subject to legal proceedings and claims in the ordinary course of business. The results of such matters often cannot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predicted with certainty. In accordance with applicable accounting guidance, the Company establishes an accrued liability for legal proceeding and claims when those matters present loss contingencies which are both probable and reasonably estimable. All such liabilities arising from current legal and regulatory</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matters, to the extent such matters existed, have been recorded in accrued expenses and other liabilities on the consolidated statements of financial position and these matters are immaterial.</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Contractual Obligations and Commitments </w:t>
      </w:r>
      <w:r>
        <w:rPr>
          <w:rFonts w:ascii="Times New Roman" w:cs="Times New Roman" w:eastAsia="Times New Roman" w:hAnsi="Times New Roman"/>
          <w:sz w:val="16"/>
          <w:szCs w:val="16"/>
          <w:color w:val="auto"/>
        </w:rPr>
        <w:t>— During 2023, the Company entered into a purchase commitment with our third-party cloud computing web services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provider, which included an annual purchase commitment of $4.6 million for the period from October 2023 through September 2025. As of June 30, 2024, the total remaining contractual obligations are approximately $6.1 million, of which $4.9 million is for the next 12 months. The Company may pay more than the minimum purchase commitment based on usage.</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Guarantees and Indemnifications </w:t>
      </w:r>
      <w:r>
        <w:rPr>
          <w:rFonts w:ascii="Times New Roman" w:cs="Times New Roman" w:eastAsia="Times New Roman" w:hAnsi="Times New Roman"/>
          <w:sz w:val="16"/>
          <w:szCs w:val="16"/>
          <w:color w:val="auto"/>
        </w:rPr>
        <w:t>— In the ordinary course of business, the Company may provide indemnifications or loss guarantees of varying scope and terms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 As of June 30, 2024, there have been 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June 30, 2024, the maximum potential amount of undiscounted future payments the Company could be required to make under these guarantees totaled $29.2 million. In accordance with the guarantee contracts, the maximum potential payment amount has been segregated and recognized within restricted cash in the unaudited condensed consolidated balance sheet.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TRANSACTIONS WITH RELATED PARTIES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the ordinary course of business, the Company may enter into transactions with directors, principal officers, their immediate families, and affiliated companies in which they are principal shareholders (commonly referred to as related parties). In addition, the Company has transactions with the securitization vehicles and other Financing Vehicles, which are also related parties.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June 30, 2024, the total fee receivables from related parties are $88.5 million, which consist of $80.4 million from securitization vehicles and $8.1 million from other Financing Vehicles. As of December 31, 2023, the total fee receivables from related parties are $84.8 million, which consists of $78.4 million from securitization vehicles and $6.3 million from other Financing Vehicles.</w:t>
      </w:r>
    </w:p>
    <w:p>
      <w:pPr>
        <w:spacing w:after="0" w:line="19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of June 30, 2024 and December 31, 2023, prepaid expenses and other assets include amounts due from related parties of $6.4 million and $7.9 million, respectively, all of which were attributable to Financing Vehicles.</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the three months ended June 30, 2024, the total revenue from related parties is $175.3 million, which consists of $157.2 million from securitization vehicles and $18.1 million from other Financing Vehicles. For the six months ended June 30, 2024, the total revenue from related parties is $353.8 million, which consists of $319.8 million from securitization vehicles and $34.0 million from other Financing Vehicles. For the three months ended June 30, 2023, the total revenue from related parties is $148.2 million, which consists of $137.8 million from securitization vehicles and $10.4 million from other Financing Vehicles. For the six months ended June 30, 2023, the total revenue from related parties is $302.0 million, which consists of $269.4 million from securitization vehicles and $32.5 million from other Financing Vehicles.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From time to time, the Company may, but is not obligated to, purchase assets from the Financing Vehicles. Such repurchases occur at the Company’s discretion. During the three and six months ended June 30, 2024, the Company purchased approximately $14.5 million and $19.5 million, respectively, of loan principal from the Financing Vehicles and included a loss of approximately $13.4 million and $18.4 million, respectively, in general and administrative expenses with respect to these loans. During the three and six months ended June 30, 2023, the Company did not purchase any loans from the Financing Vehicles.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FAIR VALUE MEASUREMENT</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FASB ASC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when available.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quoted market prices are not available, fair value is based upon models that use, as inputs, observable market-based parameters to the greatest extent possible.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Assets and Liabilities Recorded at Fair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information about the Company’s assets and liabilities that are measured at fair value on a recurring basis as of June 30, 2024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2023, and indicates the fair value hierarchy of the valuation inputs the Company utilized to determine such fair value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loans and securities (Notes)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58,007</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190,679</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248,686</w:t>
            </w: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Investments in loans and securities (Certificates and Other loans and</w:t>
            </w:r>
          </w:p>
        </w:tc>
        <w:tc>
          <w:tcPr>
            <w:tcW w:w="110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662,739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662,739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w:t>
            </w:r>
          </w:p>
        </w:tc>
        <w:tc>
          <w:tcPr>
            <w:tcW w:w="110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0" w:type="dxa"/>
            <w:vAlign w:val="bottom"/>
          </w:tcPr>
          <w:p>
            <w:pPr>
              <w:spacing w:after="0"/>
              <w:rPr>
                <w:sz w:val="1"/>
                <w:szCs w:val="1"/>
                <w:color w:val="auto"/>
              </w:rPr>
            </w:pPr>
          </w:p>
        </w:tc>
      </w:tr>
    </w:tbl>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8"/>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loans and securities (Notes)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90,425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90,425</w:t>
            </w:r>
          </w:p>
        </w:tc>
        <w:tc>
          <w:tcPr>
            <w:tcW w:w="0" w:type="dxa"/>
            <w:vAlign w:val="bottom"/>
          </w:tcPr>
          <w:p>
            <w:pPr>
              <w:spacing w:after="0"/>
              <w:rPr>
                <w:sz w:val="1"/>
                <w:szCs w:val="1"/>
                <w:color w:val="auto"/>
              </w:rPr>
            </w:pPr>
          </w:p>
        </w:tc>
      </w:tr>
      <w:tr>
        <w:trPr>
          <w:trHeight w:val="165"/>
        </w:trPr>
        <w:tc>
          <w:tcPr>
            <w:tcW w:w="46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Investments in loans and securities (Certificates and Other loans and</w:t>
            </w:r>
          </w:p>
        </w:tc>
        <w:tc>
          <w:tcPr>
            <w:tcW w:w="110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626,368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626,368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w:t>
            </w:r>
          </w:p>
        </w:tc>
        <w:tc>
          <w:tcPr>
            <w:tcW w:w="110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 (Level 1 and 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Warrant liability (Level 1 and 2)</w:t>
      </w: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Company used the value of the Public Warrants (Level 1) as an approximation of the value of the Private Warrants as they are substantially similar to the Public Warrants, but not directly traded or quoted on an active market.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the Warrant liability activity for the three and six months ended June 30, 2024 and 2023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r>
      <w:tr>
        <w:trPr>
          <w:trHeight w:val="213"/>
        </w:trPr>
        <w:tc>
          <w:tcPr>
            <w:tcW w:w="7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3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r>
      <w:tr>
        <w:trPr>
          <w:trHeight w:val="213"/>
        </w:trPr>
        <w:tc>
          <w:tcPr>
            <w:tcW w:w="71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Change in fair value</w:t>
            </w:r>
          </w:p>
        </w:tc>
        <w:tc>
          <w:tcPr>
            <w:tcW w:w="4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37"/>
        </w:trPr>
        <w:tc>
          <w:tcPr>
            <w:tcW w:w="7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3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58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r>
      <w:tr>
        <w:trPr>
          <w:trHeight w:val="213"/>
        </w:trPr>
        <w:tc>
          <w:tcPr>
            <w:tcW w:w="7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w:t>
            </w:r>
          </w:p>
        </w:tc>
      </w:tr>
      <w:tr>
        <w:trPr>
          <w:trHeight w:val="213"/>
        </w:trPr>
        <w:tc>
          <w:tcPr>
            <w:tcW w:w="71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Change in fair value</w:t>
            </w:r>
          </w:p>
        </w:tc>
        <w:tc>
          <w:tcPr>
            <w:tcW w:w="5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w:t>
            </w:r>
          </w:p>
        </w:tc>
      </w:tr>
      <w:tr>
        <w:trPr>
          <w:trHeight w:val="237"/>
        </w:trPr>
        <w:tc>
          <w:tcPr>
            <w:tcW w:w="7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3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71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60" w:type="dxa"/>
            <w:vAlign w:val="bottom"/>
          </w:tcPr>
          <w:p>
            <w:pPr>
              <w:spacing w:after="0"/>
              <w:rPr>
                <w:sz w:val="16"/>
                <w:szCs w:val="16"/>
                <w:color w:val="auto"/>
              </w:rPr>
            </w:pPr>
          </w:p>
        </w:tc>
        <w:tc>
          <w:tcPr>
            <w:tcW w:w="3580" w:type="dxa"/>
            <w:vAlign w:val="bottom"/>
          </w:tcPr>
          <w:p>
            <w:pPr>
              <w:spacing w:after="0"/>
              <w:rPr>
                <w:sz w:val="16"/>
                <w:szCs w:val="16"/>
                <w:color w:val="auto"/>
              </w:rPr>
            </w:pPr>
          </w:p>
        </w:tc>
      </w:tr>
      <w:tr>
        <w:trPr>
          <w:trHeight w:val="773"/>
        </w:trPr>
        <w:tc>
          <w:tcPr>
            <w:tcW w:w="1160" w:type="dxa"/>
            <w:vAlign w:val="bottom"/>
            <w:tcBorders>
              <w:top w:val="single" w:sz="8" w:color="0000FF"/>
              <w:bottom w:val="single" w:sz="8" w:color="CCEEFF"/>
            </w:tcBorders>
          </w:tcPr>
          <w:p>
            <w:pPr>
              <w:spacing w:after="0"/>
              <w:rPr>
                <w:sz w:val="24"/>
                <w:szCs w:val="24"/>
                <w:color w:val="auto"/>
              </w:rPr>
            </w:pPr>
          </w:p>
        </w:tc>
        <w:tc>
          <w:tcPr>
            <w:tcW w:w="594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tc>
      </w:tr>
      <w:tr>
        <w:trPr>
          <w:trHeight w:val="213"/>
        </w:trPr>
        <w:tc>
          <w:tcPr>
            <w:tcW w:w="7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3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r>
      <w:tr>
        <w:trPr>
          <w:trHeight w:val="213"/>
        </w:trPr>
        <w:tc>
          <w:tcPr>
            <w:tcW w:w="71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Change in fair value</w:t>
            </w:r>
          </w:p>
        </w:tc>
        <w:tc>
          <w:tcPr>
            <w:tcW w:w="4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w:t>
            </w:r>
          </w:p>
        </w:tc>
      </w:tr>
      <w:tr>
        <w:trPr>
          <w:trHeight w:val="237"/>
        </w:trPr>
        <w:tc>
          <w:tcPr>
            <w:tcW w:w="71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3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58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r>
      <w:tr>
        <w:trPr>
          <w:trHeight w:val="213"/>
        </w:trPr>
        <w:tc>
          <w:tcPr>
            <w:tcW w:w="7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13"/>
        </w:trPr>
        <w:tc>
          <w:tcPr>
            <w:tcW w:w="71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Change in fair value</w:t>
            </w:r>
          </w:p>
        </w:tc>
        <w:tc>
          <w:tcPr>
            <w:tcW w:w="5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w:t>
            </w:r>
          </w:p>
        </w:tc>
      </w:tr>
      <w:tr>
        <w:trPr>
          <w:trHeight w:val="237"/>
        </w:trPr>
        <w:tc>
          <w:tcPr>
            <w:tcW w:w="7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3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54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 (Level 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Investments in Loans and Securities Available for Sale (Level 3)</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As of June 30, 2024, the Company held investments in loans and securities classified as available for sale. These assets are measured at fair value using a discounted cash flow model, and presented within investments in loans and securities on the unaudited condensed consolidated balance sheets. Changes in the fair value, other than declines in fair value due to credit, are reflected in other comprehensive income (loss) on the unaudited condensed consolidated statements of comprehensive income (loss). Declines in fair value due to credit are reflected in other income (expenses), net on the unaudited condensed consolidated statements of operations.</w:t>
      </w:r>
    </w:p>
    <w:p>
      <w:pPr>
        <w:spacing w:after="0" w:line="20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tables summarize the activity related to the fair value of the investments in loans and securities available for sale (Level 3 only) for the three and six months ended June 30, 2024 and 2023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7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beginning of period</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825,121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Transfer to Level 3</w:t>
            </w:r>
          </w:p>
        </w:tc>
        <w:tc>
          <w:tcPr>
            <w:tcW w:w="1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339,041</w:t>
            </w:r>
          </w:p>
        </w:tc>
      </w:tr>
      <w:tr>
        <w:trPr>
          <w:trHeight w:val="219"/>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Additions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146,821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273,339</w:t>
            </w:r>
          </w:p>
        </w:tc>
      </w:tr>
      <w:tr>
        <w:trPr>
          <w:trHeight w:val="213"/>
        </w:trPr>
        <w:tc>
          <w:tcPr>
            <w:tcW w:w="3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received</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(56,381)</w:t>
            </w:r>
          </w:p>
        </w:tc>
      </w:tr>
      <w:tr>
        <w:trPr>
          <w:trHeight w:val="219"/>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w:t>
            </w:r>
          </w:p>
        </w:tc>
      </w:tr>
      <w:tr>
        <w:trPr>
          <w:trHeight w:val="213"/>
        </w:trPr>
        <w:tc>
          <w:tcPr>
            <w:tcW w:w="3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Credit-related impairment loss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(53,060)</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(79,911)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(78,327)</w:t>
            </w:r>
          </w:p>
        </w:tc>
      </w:tr>
      <w:tr>
        <w:trPr>
          <w:trHeight w:val="237"/>
        </w:trPr>
        <w:tc>
          <w:tcPr>
            <w:tcW w:w="3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853,418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481,818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853,418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481,818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following tables summarize the activity related to the fair value of the investments in loans and securities available for sale for the three and six months ended June 30, 2024 and 2023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37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beginning of period</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894,151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507,166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716,793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7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Transfer from held-to-maturity to available for sale at</w:t>
            </w:r>
          </w:p>
        </w:tc>
        <w:tc>
          <w:tcPr>
            <w:tcW w:w="112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480,437</w:t>
            </w:r>
          </w:p>
        </w:tc>
        <w:tc>
          <w:tcPr>
            <w:tcW w:w="0" w:type="dxa"/>
            <w:vAlign w:val="bottom"/>
          </w:tcPr>
          <w:p>
            <w:pPr>
              <w:spacing w:after="0"/>
              <w:rPr>
                <w:sz w:val="1"/>
                <w:szCs w:val="1"/>
                <w:color w:val="auto"/>
              </w:rPr>
            </w:pPr>
          </w:p>
        </w:tc>
      </w:tr>
      <w:tr>
        <w:trPr>
          <w:trHeight w:val="213"/>
        </w:trPr>
        <w:tc>
          <w:tcPr>
            <w:tcW w:w="3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w:t>
            </w:r>
          </w:p>
        </w:tc>
        <w:tc>
          <w:tcPr>
            <w:tcW w:w="1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Additions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146,821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273,339</w:t>
            </w:r>
          </w:p>
        </w:tc>
        <w:tc>
          <w:tcPr>
            <w:tcW w:w="0" w:type="dxa"/>
            <w:vAlign w:val="bottom"/>
          </w:tcPr>
          <w:p>
            <w:pPr>
              <w:spacing w:after="0"/>
              <w:rPr>
                <w:sz w:val="1"/>
                <w:szCs w:val="1"/>
                <w:color w:val="auto"/>
              </w:rPr>
            </w:pPr>
          </w:p>
        </w:tc>
      </w:tr>
      <w:tr>
        <w:trPr>
          <w:trHeight w:val="213"/>
        </w:trPr>
        <w:tc>
          <w:tcPr>
            <w:tcW w:w="3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received</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(91,360)</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w:t>
            </w:r>
          </w:p>
        </w:tc>
        <w:tc>
          <w:tcPr>
            <w:tcW w:w="0" w:type="dxa"/>
            <w:vAlign w:val="bottom"/>
          </w:tcPr>
          <w:p>
            <w:pPr>
              <w:spacing w:after="0"/>
              <w:rPr>
                <w:sz w:val="1"/>
                <w:szCs w:val="1"/>
                <w:color w:val="auto"/>
              </w:rPr>
            </w:pPr>
          </w:p>
        </w:tc>
      </w:tr>
      <w:tr>
        <w:trPr>
          <w:trHeight w:val="213"/>
        </w:trPr>
        <w:tc>
          <w:tcPr>
            <w:tcW w:w="3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Credit-related impairment loss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(53,060)</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(79,911)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(78,327)</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911,425</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590,455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911,425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590,455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Significant unobservable inputs used for our Level 3 fair value measurement of the loans and securities are the discount rate, loss rate, and prepayment rate. Significant increases or decreases in any of the inputs in isolation could result in a significantly lower or higher fair value measurement.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quantitative information about the significant unobservable inputs used for our Level 3 fair value measurement of the loans and securities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2024 and December 31, 2023:</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80" w:type="dxa"/>
            <w:vAlign w:val="bottom"/>
            <w:tcBorders>
              <w:bottom w:val="single" w:sz="8" w:color="auto"/>
            </w:tcBorders>
          </w:tcPr>
          <w:p>
            <w:pPr>
              <w:spacing w:after="0"/>
              <w:rPr>
                <w:sz w:val="18"/>
                <w:szCs w:val="18"/>
                <w:color w:val="auto"/>
              </w:rPr>
            </w:pPr>
          </w:p>
        </w:tc>
      </w:tr>
      <w:tr>
        <w:trPr>
          <w:trHeight w:val="214"/>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2300" w:type="dxa"/>
            <w:vAlign w:val="bottom"/>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218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1"/>
        </w:trPr>
        <w:tc>
          <w:tcPr>
            <w:tcW w:w="46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Discount rate</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rate</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9"/>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Prepayment rate</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bl>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80" w:type="dxa"/>
            <w:vAlign w:val="bottom"/>
            <w:tcBorders>
              <w:bottom w:val="single" w:sz="8" w:color="auto"/>
            </w:tcBorders>
          </w:tcPr>
          <w:p>
            <w:pPr>
              <w:spacing w:after="0"/>
              <w:rPr>
                <w:sz w:val="18"/>
                <w:szCs w:val="18"/>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218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1"/>
        </w:trPr>
        <w:tc>
          <w:tcPr>
            <w:tcW w:w="46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Discount rate</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3"/>
        </w:trPr>
        <w:tc>
          <w:tcPr>
            <w:tcW w:w="4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rate</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9"/>
        </w:trPr>
        <w:tc>
          <w:tcPr>
            <w:tcW w:w="4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Prepayment rate</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Assets and Liabilities Not Recorded at Fair Value</w:t>
      </w:r>
    </w:p>
    <w:p>
      <w:pPr>
        <w:spacing w:after="0" w:line="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Company believes that the carrying amount of cash, cash equivalents and restricted cash, fees and other receivables, accounts payables and other current liabilities approximate their fair value due to the short-term maturities of these instruments.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below tables contain information about assets that are not measured at fair value on a recurring basis as of June 30, 2024 and December 31, 2023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3"/>
                <w:szCs w:val="13"/>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3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267,926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267,926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267,926</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Fees and other receivables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126,447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126,447</w:t>
            </w:r>
          </w:p>
        </w:tc>
        <w:tc>
          <w:tcPr>
            <w:tcW w:w="0" w:type="dxa"/>
            <w:vAlign w:val="bottom"/>
          </w:tcPr>
          <w:p>
            <w:pPr>
              <w:spacing w:after="0"/>
              <w:rPr>
                <w:sz w:val="1"/>
                <w:szCs w:val="1"/>
                <w:color w:val="auto"/>
              </w:rPr>
            </w:pPr>
          </w:p>
        </w:tc>
      </w:tr>
      <w:tr>
        <w:trPr>
          <w:trHeight w:val="210"/>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394,373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267,926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126,447</w:t>
            </w:r>
          </w:p>
        </w:tc>
        <w:tc>
          <w:tcPr>
            <w:tcW w:w="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394,373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4"/>
        </w:trPr>
        <w:tc>
          <w:tcPr>
            <w:tcW w:w="2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3"/>
                <w:szCs w:val="13"/>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3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222,541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222,541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222,541</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Fees and other receivables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113,707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113,707</w:t>
            </w:r>
          </w:p>
        </w:tc>
        <w:tc>
          <w:tcPr>
            <w:tcW w:w="0" w:type="dxa"/>
            <w:vAlign w:val="bottom"/>
          </w:tcPr>
          <w:p>
            <w:pPr>
              <w:spacing w:after="0"/>
              <w:rPr>
                <w:sz w:val="1"/>
                <w:szCs w:val="1"/>
                <w:color w:val="auto"/>
              </w:rPr>
            </w:pPr>
          </w:p>
        </w:tc>
      </w:tr>
      <w:tr>
        <w:trPr>
          <w:trHeight w:val="210"/>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336,248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222,541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113,707</w:t>
            </w:r>
          </w:p>
        </w:tc>
        <w:tc>
          <w:tcPr>
            <w:tcW w:w="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336,248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ORDINARY SHARES AND ORDINARY SHARE WARRANTS</w:t>
      </w:r>
    </w:p>
    <w:p>
      <w:pPr>
        <w:spacing w:after="0" w:line="26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As of June 30, 2024, 839,999,998 shares with no par value are authorized, of which, 6,666,666 shares are designated as Preferred Shares, 666,666,666 shares are designated as Class A Ordinary Shares, and 166,666,666 shares are designated as Class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Ordinary Shares. As of June 30, 2024, the Company had 5,000,000 Preferred Shares outstanding, 58,943,381 Class A Ordinary Shares outstanding and 12,652,310 Class B Ordinary Shares outstanding.</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rights of the holders of each class of Ordinary Shares are identical, except with respect to voting. Each Class A Ordinary Share is entitled to one vote per share. Each Class B Ordinary Share is entitled to 10 votes per share. Class B Ordinary Shares may be converted at any time at the option of the stockholder and automatically convert upon sale or transfer to a Class A Ordinary Share.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Reverse Share Split</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Upon the approvals granted at the special general meeting of shareholders held on February 15, 2024, the Board has determined to implement a reverse share split of all of the Company’s ordinary and preferred shares, without par value, at a ratio of 1-for-12 with effective date of March 8, 2024. All references made to share or per share amounts in the accompanying consolidated financial statements and applicable disclosures have been retroactively adjusted to reflect the effects of the reverse share split.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2024 and December 31, 2023, the Company had reserved ordinary shares for future issuance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1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1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Share options</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3,840,172</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4,250,988</w:t>
            </w:r>
          </w:p>
        </w:tc>
      </w:tr>
      <w:tr>
        <w:trPr>
          <w:trHeight w:val="213"/>
        </w:trPr>
        <w:tc>
          <w:tcPr>
            <w:tcW w:w="7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Options to restricted shares</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20,025,410</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20,046,080</w:t>
            </w:r>
          </w:p>
        </w:tc>
      </w:tr>
      <w:tr>
        <w:trPr>
          <w:trHeight w:val="219"/>
        </w:trPr>
        <w:tc>
          <w:tcPr>
            <w:tcW w:w="7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RSUs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3,754,702</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3,034,203</w:t>
            </w:r>
          </w:p>
        </w:tc>
      </w:tr>
      <w:tr>
        <w:trPr>
          <w:trHeight w:val="213"/>
        </w:trPr>
        <w:tc>
          <w:tcPr>
            <w:tcW w:w="7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 warrants</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2,076,014</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2,076,014</w:t>
            </w:r>
          </w:p>
        </w:tc>
      </w:tr>
      <w:tr>
        <w:trPr>
          <w:trHeight w:val="219"/>
        </w:trPr>
        <w:tc>
          <w:tcPr>
            <w:tcW w:w="7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Redeemable convertible preferred shares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r>
      <w:tr>
        <w:trPr>
          <w:trHeight w:val="213"/>
        </w:trPr>
        <w:tc>
          <w:tcPr>
            <w:tcW w:w="7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Shares available for future grant of equity awards(1)</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8,978,511</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5,231,186</w:t>
            </w:r>
          </w:p>
        </w:tc>
      </w:tr>
      <w:tr>
        <w:trPr>
          <w:trHeight w:val="216"/>
        </w:trPr>
        <w:tc>
          <w:tcPr>
            <w:tcW w:w="7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Shares reserved for issuance under the ESPP</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891,858</w:t>
            </w:r>
          </w:p>
        </w:tc>
        <w:tc>
          <w:tcPr>
            <w:tcW w:w="10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shares of ordinary share reserved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44,566,667</w:t>
            </w:r>
          </w:p>
        </w:tc>
        <w:tc>
          <w:tcPr>
            <w:tcW w:w="100" w:type="dxa"/>
            <w:vAlign w:val="bottom"/>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39,638,471</w:t>
            </w:r>
          </w:p>
        </w:tc>
      </w:tr>
      <w:tr>
        <w:trPr>
          <w:trHeight w:val="20"/>
        </w:trPr>
        <w:tc>
          <w:tcPr>
            <w:tcW w:w="7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firstLine="8"/>
        <w:spacing w:after="0" w:line="280" w:lineRule="auto"/>
        <w:tabs>
          <w:tab w:leader="none" w:pos="23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application of the automatic increase of shares reserved under the Company's 2022 Share Incentive Plan (the "2022 Plan") on January 1 of 2023 and 2024 pursuant to the terms of the 2022 Plan. For more information on the automatic increases see our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Ordinary Share Warrants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has accounted for the ordinary share warrants as equity-classified warrants as they met the requirements for equity classification under ASC 815, including whether the ordinary share warrants are indexed to the Company’s own ordinary shares. For warrants that do not meet all the criteria for equity classification, the warrants are recorded at their initial fair value on the date of issuance and remeasured each balance sheet date thereafter. Changes in the estimated fair value of the liability-classified warrants are recognized as a non-cash other income or expense in the accompanying unaudited condensed consolidated statements of operations.</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June 30, 2024, there were 433,946 warrants expiring in March 2031 with an exercise price of $0.00006 per share, 192,901 warrants expiring in June 2030 with an exercise price of $0.0006 per share, 220,000 warrants expiring in March 2032 with an exercise price of $0.12 per share, and 1,229,166 warrants expiring in June 2027 (consisting of the Public Warrants and Private Placement Warrants) with an exercise price of $138 per share to purchase one Class A Ordinary Share.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Ordinary Shares Purchase Agreement</w:t>
      </w: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During the three months ended June 30, 2024, the Company did not issue any shares under the Equity Financing Purchase Agreement. During the six months ended June 30, 2024, 298,057 shares were issued under the Equity Financing Purchase Agreement for net proceeds of $5.2 million, and related fee of $0.2 million was expensed.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Ordinary Share Offering</w:t>
      </w:r>
    </w:p>
    <w:p>
      <w:pPr>
        <w:spacing w:after="0" w:line="23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On March 13, 2024, the Company priced an offering of 7,500,000 of its Class A Ordinary Shares, no par value, pursuant to an underwriting agreement (the “Underwriting Agreement”) with Citigroup Global Markets Inc. and Jefferies LLC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representatives of the several underwriters. The proceeds from the offer and sale of the securities are approximately $90.0 million, after deducting the underwriting discount and fees and offering expenses payable by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SHARE BASED COMPENSATION</w:t>
      </w:r>
    </w:p>
    <w:p>
      <w:pPr>
        <w:spacing w:after="0" w:line="2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Share Options</w:t>
      </w:r>
      <w:r>
        <w:rPr>
          <w:rFonts w:ascii="Times New Roman" w:cs="Times New Roman" w:eastAsia="Times New Roman" w:hAnsi="Times New Roman"/>
          <w:sz w:val="16"/>
          <w:szCs w:val="16"/>
          <w:color w:val="auto"/>
        </w:rPr>
        <w:t>—Granted share options expire at the earlier of termination of employment or ten years from the date of grant. Share options generally vest over four years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employment commencement date or with 25% vesting on the twelve-month anniversary of the employment commencement date, and the remaining on a pro-rata basis each quarter over the next three years. Any options, which are forfeited or not exercised before expiration, become available for future grants.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summarized the Company’s share option activity during the six months ended June 30, 2024:</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5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320" w:type="dxa"/>
            <w:vAlign w:val="bottom"/>
          </w:tcPr>
          <w:p>
            <w:pPr>
              <w:spacing w:after="0"/>
              <w:rPr>
                <w:sz w:val="14"/>
                <w:szCs w:val="14"/>
                <w:color w:val="auto"/>
              </w:rPr>
            </w:pPr>
          </w:p>
        </w:tc>
        <w:tc>
          <w:tcPr>
            <w:tcW w:w="132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5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3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Intrinsic Value (000’s)</w:t>
            </w: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15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w w:val="99"/>
              </w:rPr>
              <w:t>4,250,988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43,940</w:t>
            </w: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68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(269,644)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5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(141,172)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3,840,172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3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20,515</w:t>
            </w:r>
          </w:p>
        </w:tc>
        <w:tc>
          <w:tcPr>
            <w:tcW w:w="0" w:type="dxa"/>
            <w:vAlign w:val="bottom"/>
          </w:tcPr>
          <w:p>
            <w:pPr>
              <w:spacing w:after="0"/>
              <w:rPr>
                <w:sz w:val="1"/>
                <w:szCs w:val="1"/>
                <w:color w:val="auto"/>
              </w:rPr>
            </w:pPr>
          </w:p>
        </w:tc>
      </w:tr>
      <w:tr>
        <w:trPr>
          <w:trHeight w:val="204"/>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and exercisable, June 30,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3,224,405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22,835</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There was no grant of share options during the six months ended June 30, 2024. The aggregate intrinsic value of options exercised was approximately $2.6 million and $4.7 million for the six months ended June 30, 2024 and 2023, respectively. The total fair value of share options vested for the six months ended June 30, 2024 and 2023, was $62.6 million and $58.9 million, respectively.</w:t>
      </w:r>
    </w:p>
    <w:p>
      <w:pPr>
        <w:spacing w:after="0" w:line="21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As of June 30, 2024, unrecognized compensation expense related to unvested share options was approximately $31.7 million, which is expected to be recognized over a remaining weighted-average period of 0.9 years.</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Restricted Stock Units (RSUs)</w:t>
      </w:r>
      <w:r>
        <w:rPr>
          <w:rFonts w:ascii="Times New Roman" w:cs="Times New Roman" w:eastAsia="Times New Roman" w:hAnsi="Times New Roman"/>
          <w:sz w:val="16"/>
          <w:szCs w:val="16"/>
          <w:color w:val="auto"/>
        </w:rPr>
        <w:t>—RSUs generally vest over two years of the employment commencement date with 50% vesting on the twelve-month anniversary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employment commencement date, and the remaining on a pro-rata basis each quarter over the remaining twelve months. RSUs granted are forfeited at termination of employment. Any RSUs, which are forfeited or not exercised before expiration, become available for future grants.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summarized the Company’s RSU activity during the six months ended June 30,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1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120" w:type="dxa"/>
            <w:vAlign w:val="bottom"/>
          </w:tcPr>
          <w:p>
            <w:pPr>
              <w:spacing w:after="0"/>
              <w:rPr>
                <w:sz w:val="16"/>
                <w:szCs w:val="16"/>
                <w:color w:val="auto"/>
              </w:rPr>
            </w:pPr>
          </w:p>
        </w:tc>
        <w:tc>
          <w:tcPr>
            <w:tcW w:w="3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Weighted Average Grant Date Fair Value Per</w:t>
            </w:r>
          </w:p>
        </w:tc>
        <w:tc>
          <w:tcPr>
            <w:tcW w:w="0" w:type="dxa"/>
            <w:vAlign w:val="bottom"/>
          </w:tcPr>
          <w:p>
            <w:pPr>
              <w:spacing w:after="0"/>
              <w:rPr>
                <w:sz w:val="1"/>
                <w:szCs w:val="1"/>
                <w:color w:val="auto"/>
              </w:rPr>
            </w:pPr>
          </w:p>
        </w:tc>
      </w:tr>
      <w:tr>
        <w:trPr>
          <w:trHeight w:val="214"/>
        </w:trPr>
        <w:tc>
          <w:tcPr>
            <w:tcW w:w="61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right"/>
              <w:ind w:right="13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11"/>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December 31,2023</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3,034,203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3"/>
        </w:trPr>
        <w:tc>
          <w:tcPr>
            <w:tcW w:w="6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2,570,103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(1,481,470)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(368,134)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June 30,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3,754,702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June 30, 2024, unrecognized compensation expense related to RSUs was approximately $41.7 million, which is expected to be recognized over a remaining weighted-average period of 1.2 years.</w:t>
      </w:r>
    </w:p>
    <w:p>
      <w:pPr>
        <w:spacing w:after="0" w:line="190"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Options to Restricted Shares</w:t>
      </w:r>
      <w:r>
        <w:rPr>
          <w:rFonts w:ascii="Times New Roman" w:cs="Times New Roman" w:eastAsia="Times New Roman" w:hAnsi="Times New Roman"/>
          <w:sz w:val="16"/>
          <w:szCs w:val="16"/>
          <w:color w:val="auto"/>
        </w:rPr>
        <w:t>—Options to restricted shares were granted to certain employees and directors during 2021. See Note 16 to the consolidated financial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statements included in the Annual Report on Form 10-K for additional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summarized the Company’s options to restricted shares activity during the six months ended June 30, 2024:</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4"/>
        </w:trPr>
        <w:tc>
          <w:tcPr>
            <w:tcW w:w="1160" w:type="dxa"/>
            <w:vAlign w:val="bottom"/>
            <w:tcBorders>
              <w:top w:val="single" w:sz="8" w:color="0000FF"/>
            </w:tcBorders>
          </w:tcPr>
          <w:p>
            <w:pPr>
              <w:spacing w:after="0"/>
              <w:rPr>
                <w:sz w:val="24"/>
                <w:szCs w:val="24"/>
                <w:color w:val="auto"/>
              </w:rPr>
            </w:pPr>
          </w:p>
        </w:tc>
        <w:tc>
          <w:tcPr>
            <w:tcW w:w="3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80" w:type="dxa"/>
            <w:vAlign w:val="bottom"/>
          </w:tcPr>
          <w:p>
            <w:pPr>
              <w:spacing w:after="0"/>
              <w:rPr>
                <w:sz w:val="14"/>
                <w:szCs w:val="14"/>
                <w:color w:val="auto"/>
              </w:rPr>
            </w:pPr>
          </w:p>
        </w:tc>
        <w:tc>
          <w:tcPr>
            <w:tcW w:w="13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Intrinsic Value (000’s)</w:t>
            </w: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20,046,080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20,025,410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Vested and exercisable, June 30, 2024</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16,552,883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At June 30, 2024, unrecognized compensation expense related to options to restricted shares was approximately $15.8 million, which is expected to be recognized over a remaining weighted-average period of 1.3 years.</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Employee Stock Purchase Plan</w:t>
      </w:r>
      <w:r>
        <w:rPr>
          <w:rFonts w:ascii="Times New Roman" w:cs="Times New Roman" w:eastAsia="Times New Roman" w:hAnsi="Times New Roman"/>
          <w:sz w:val="16"/>
          <w:szCs w:val="16"/>
          <w:color w:val="auto"/>
        </w:rPr>
        <w:t>—The Employee Stock Purchase Plan (“ESPP”) allows eligible employees to purchase shares of our Class A Ordinary Shares at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discounted price, normally through payroll deductions, subject to the terms of the ESPP and applicable law. As of June 30, 2024, 0.9 million shares of our Class A Ordinary Shares were reserved for issuance under the ESPP. Compensation expense related to the ESPP was $0.3 million for six months ended June 30,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Share-Based Compensation Expense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components and classification of share-based compensation for the three and six months ended June 30, 2024 and 2023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6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5,448</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marketing</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7,510</w:t>
            </w: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23,617</w:t>
            </w:r>
          </w:p>
        </w:tc>
      </w:tr>
      <w:tr>
        <w:trPr>
          <w:trHeight w:val="212"/>
        </w:trPr>
        <w:tc>
          <w:tcPr>
            <w:tcW w:w="4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18,044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20,208</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36,575</w:t>
            </w:r>
          </w:p>
        </w:tc>
      </w:tr>
      <w:tr>
        <w:trPr>
          <w:trHeight w:val="20"/>
        </w:trPr>
        <w:tc>
          <w:tcPr>
            <w:tcW w:w="4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INCOME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Income Tax - Ordinary taxable income in Israel is subject to a corporate tax rate of 23%.</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Pagaya has received an approval from the Israeli Tax authorities for Preferred Technological Enterprise (“PTE”) status and received approval on November 18, 2021. The approval is effective for the tax years 2020 through 2024. Income from a PTE is subject to 12% tax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Exchange Regulations in Israel</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Under the Foreign Exchange Regulations, the Company calculates its tax liability in U.S. Dollars according to certain orders. The tax liability, as calculated in U.S. Dollars is translated into NIS according to the exchange rate as of December 31st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Non-Israeli subsidiaries are taxed according to the tax laws in their respective countries of residence.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effective tax rates for the three and six months ended June 30, 2024 and 2023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304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(68,167)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(27,133)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(94,826)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(119,089)</w:t>
            </w:r>
          </w:p>
        </w:tc>
      </w:tr>
      <w:tr>
        <w:trPr>
          <w:trHeight w:val="21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14,512</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5,006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19,515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11,673</w:t>
            </w:r>
          </w:p>
        </w:tc>
      </w:tr>
      <w:tr>
        <w:trPr>
          <w:trHeight w:val="237"/>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tax rate is affected by recurring items, such as tax rates in foreign jurisdictions and the relative amounts of income the Company earns in those jurisdictions.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difference between the effective tax rate and the statuary tax rate in Israel mainly related to valuation allowance in Israel and tax expenses in the United States.</w:t>
      </w:r>
    </w:p>
    <w:p>
      <w:pPr>
        <w:spacing w:after="0" w:line="2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w:t>
      </w:r>
    </w:p>
    <w:p>
      <w:pPr>
        <w:spacing w:after="0" w:line="19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Company provides a valuation allowance to offset certain deferred tax assets due to the uncertainty of realizing future tax benefits from its net operating loss carryforwards and other deferred tax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NET LOSS PER SHARE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 (loss) per share is presented in conformity with the two-class method required for multiple classes of ordinary share and participating securities.</w:t>
      </w:r>
    </w:p>
    <w:p>
      <w:pPr>
        <w:spacing w:after="0" w:line="24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tables set forth the calculation of basic and diluted net loss per share attributable to ordinary shareholders for the three and six months ended June 30, 2024 and 2023 (in thousands, except share and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26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333333"/>
              </w:rPr>
              <w:t>Three Months Ended June 30, 2024</w:t>
            </w:r>
          </w:p>
        </w:tc>
        <w:tc>
          <w:tcPr>
            <w:tcW w:w="120" w:type="dxa"/>
            <w:vAlign w:val="bottom"/>
          </w:tcPr>
          <w:p>
            <w:pPr>
              <w:spacing w:after="0"/>
              <w:rPr>
                <w:sz w:val="18"/>
                <w:szCs w:val="18"/>
                <w:color w:val="auto"/>
              </w:rPr>
            </w:pPr>
          </w:p>
        </w:tc>
        <w:tc>
          <w:tcPr>
            <w:tcW w:w="240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333333"/>
              </w:rPr>
              <w:t>Six Months Ended June 30, 2024</w:t>
            </w:r>
          </w:p>
        </w:tc>
      </w:tr>
      <w:tr>
        <w:trPr>
          <w:trHeight w:val="211"/>
        </w:trPr>
        <w:tc>
          <w:tcPr>
            <w:tcW w:w="6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Class B</w:t>
            </w:r>
          </w:p>
        </w:tc>
      </w:tr>
      <w:tr>
        <w:trPr>
          <w:trHeight w:val="198"/>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Pagaya Technologies Ltd. ordinary shareholders, basic and diluted</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(61,600)</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(78,174)</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(17,834)</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for net loss per ordinary share, basic and diluted</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59,113,574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12,652,310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55,461,550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12,652,310</w:t>
            </w: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ordinary shareholders, basic and diluted</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26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333333"/>
              </w:rPr>
              <w:t>Three Months Ended June 30, 2023</w:t>
            </w:r>
          </w:p>
        </w:tc>
        <w:tc>
          <w:tcPr>
            <w:tcW w:w="120" w:type="dxa"/>
            <w:vAlign w:val="bottom"/>
          </w:tcPr>
          <w:p>
            <w:pPr>
              <w:spacing w:after="0"/>
              <w:rPr>
                <w:sz w:val="18"/>
                <w:szCs w:val="18"/>
                <w:color w:val="auto"/>
              </w:rPr>
            </w:pPr>
          </w:p>
        </w:tc>
        <w:tc>
          <w:tcPr>
            <w:tcW w:w="240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333333"/>
              </w:rPr>
              <w:t>Six Months Ended June 30, 2023</w:t>
            </w:r>
          </w:p>
        </w:tc>
      </w:tr>
      <w:tr>
        <w:trPr>
          <w:trHeight w:val="211"/>
        </w:trPr>
        <w:tc>
          <w:tcPr>
            <w:tcW w:w="6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Class B</w:t>
            </w:r>
          </w:p>
        </w:tc>
      </w:tr>
      <w:tr>
        <w:trPr>
          <w:trHeight w:val="198"/>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Pagaya Technologies Ltd. ordinary shareholders, basic and diluted</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(23,643)</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(69,619)</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(22,649)</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for net loss per ordinary share, basic and diluted</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45,031,922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14,577,866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44,809,108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14,577,866</w:t>
            </w: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ordinary shareholders, basic and diluted</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The following potentially dilutive outstanding securities as of June 30, 2024 and 2023 were excluded from the computation of diluted net income (loss) per share because their effect would have been anti-dilutive for the periods: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12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40" w:type="dxa"/>
            <w:vAlign w:val="bottom"/>
            <w:tcBorders>
              <w:bottom w:val="single" w:sz="8" w:color="auto"/>
            </w:tcBorders>
          </w:tcPr>
          <w:p>
            <w:pPr>
              <w:spacing w:after="0"/>
              <w:rPr>
                <w:sz w:val="18"/>
                <w:szCs w:val="18"/>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options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3,539,256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4,760,490</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to restricted shares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20,025,410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20,113,280</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3,754,702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3,507,033</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Ordinary share warrants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2,016,321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2,016,330</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convertible preferred shares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r>
      <w:tr>
        <w:trPr>
          <w:trHeight w:val="212"/>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potential dilutive outstanding securities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34,335,689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35,397,133</w:t>
            </w:r>
          </w:p>
        </w:tc>
      </w:tr>
      <w:tr>
        <w:trPr>
          <w:trHeight w:val="21"/>
        </w:trPr>
        <w:tc>
          <w:tcPr>
            <w:tcW w:w="79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SUBSEQUENT EVENTS</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July 30, 2024, the Company announced that it entered into a definitive agreement to acquire 100% of the equity of Theorem Technology, Inc. (“Theorem”), a Silicon Valley-based institutional asset manager focused exclusively on the consumer credit space, managing assets for global institutional investors since its founding in 2014. The transaction is expected to close in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together with the unaudited condensed consolidated interim financial statements included elsewhere in this Quarterly Report on Form 10-Q (“Form 10-Q”) and our audited annual consolidated financial statements as of and for the years ended December 31, 2023 and 2022, and the related notes included in our Annual Report on Form 10-K filed with the SEC on April 25, 2024 (“our Annual Report on Form 10-K”).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our actual results could differ materially from the results described in or implied by the forward-looking statements contained in the following discussion and analysis. In this section “we,” “us,” “our” and “Pagaya” refer to Pagaya Technologies Ltd.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Pagaya’s mission is to deliver more financial opportunity to more people, more often. We believe our mission will be accomplished by becoming the trusted lending technology partner for the consumer finance ecosystem, with an expansive product suite (the fee-generating side of our business) fueled by effective and efficient capital and risk management (the capital efficiency side of our business). Both sides of our business working harmoniously to meet the complex needs of the leading financial institutions.</w:t>
      </w:r>
    </w:p>
    <w:p>
      <w:pPr>
        <w:spacing w:after="0" w:line="34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are a product-focused technology company that deploys sophisticated data science and proprietary, AI-powered technology to enable better outcomes for financial institutions, their existing and potential customers, and institutional or sophisticated investors.</w:t>
      </w:r>
    </w:p>
    <w:p>
      <w:pPr>
        <w:spacing w:after="0" w:line="15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We have built, and we are continuing to scale, a leading AI and data network for the benefit of financial services and other service providers, their customers, and investors. Services providers integrated in our network, which we refer to as our ‘‘Partners,’’ range from high-growth financial technology companies to incumbent banks and financial institutions. We believe Partners benefit from our network to extend financial products to their customers, in turn helping those customers fulfill their financial needs. These assets originated by Partners with the assistance of Pagaya’s AI technology are eligible to be acquired by Financing Vehicles: (i) funds managed or advised by Pagaya or one of its affiliates, (ii) securitization vehicles sponsored or administered by Pagaya or one of its affiliates and (iii) other similar vehicles (“Financing Vehicles”).</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recent years, investments in digitization have improved the front-end delivery of financial products, upgrading customer experience and convenience. Notwithstanding these advances, we believe underlying approaches to the determination of creditworthiness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At our core, we are a technology company that deploys data science and technology to drive better results across the financial ecosystem. We believe our solution drives a “win-win-win” for Partners, their customers and potential customers, and investors. First, by utilizing our network, Partners are able to approve more customer applications, which we believe drives superior revenue growth, enhanced brand affinity, opportunities to promote other financial products and decreased unit-level customer acquisition costs. Partners realize these benefits with limited incremental risk or funding requirements. Second, Partners’ customers benefit from enhanced and more convenient access to financial products. Third, investors benefit through gaining exposure to these assets originated by Partners with the assistance of our AI technology and acquired by the Financing Vehicles through our network.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We qualify as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will remain an emerging growth company until the earlier of: (i) the last day of the fiscal year (a) following the fifth anniversary of June 22, 2022, (b) in which we have an annual total gross revenue of at least $1.235 billion, or (c) in which we are deemed to be a large accelerated filer, which means the market value of our ordinary equity that is held by non-affiliates exceeds $700 million as of the last business day of the second fiscal quarter of such fiscal year; and (ii) the date on which we have issued more than $1 billion in non-convertible debt securities during the prior three-year period. References herein to “emerging growth company” have the meaning associated with it in the JOBS Act.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Foreign Private Issuer Exemptions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technically a “foreign private issuer” under U.S. Securities and Exchange Commission rules. Consequently, we are subject to the reporting requirements under the Exchange Act applicable to foreign private issuers. That said, as previously disclosed on January 16, 2024, we have decided to voluntarily file on U.S. domestic issuer forms with the SEC beginning in 2024. Accordingly, the Company will be filing its quarterly reports on Form 10-Q, current reports on Form 8-K, and its annual reports on Form 10-K, and will no longer report on forms 20-F and 6-K. In addition, the Company intends to comply with Regulation FD and the SEC’s proxy rules, and the Company's officers, directors, and 10% shareholders will now also begin reporting on Forms 3, 4 and 5, as applicable.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Nevertheless, since we are a foreign private issuer (“FPI”), we could elect to return to follow FPI reporting requirements, such as not having to file our annual report on Form 20-F until 120 days after the end of each fiscal year and permitting us to furnish reports on Form 6-K to the SEC regarding certain information required to be publicly disclosed by us in Israel or that is distributed or required to be distributed by us to our shareholders. Based on our foreign private issuer status, we are also not required to (i) file periodic reports and financial statements with the SEC as frequently or as promptly as a U.S. company whose securities are registered under the Exchange Act, (ii) comply with Regulation FD, which addresses certain restrictions on the selective disclosure of material information or (iii) comply with SEC rules relating to proxy solicitation in connection with shareholder meetings and presentation of shareholder proposals. In addition, among other matters, based on our foreign private issuer status, our officers, directors and principal shareholders are technically exempt from the reporting and “short-swing” profit recovery provisions of Section 16 of the Exchange Act and the rules under the Exchange Act with respect to their purchases and sales of the 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Our Economic Model</w:t>
      </w:r>
    </w:p>
    <w:p>
      <w:pPr>
        <w:spacing w:after="0" w:line="23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Pagaya’s revenues are primarily derived from Network Volume. We define Network Volume as the gross dollar value of assets originated by our Partners with the assistance of our artificial intelligence (“AI”) technology</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and, with respect to single-family rental operations, the gross dollar value of services, which may include the value of newly onboarded properties onto our Darwin platform. We generate revenue from network AI fees, contract fees, interest income and investment income. Revenue from fees is comprised of network AI fees and contract fees. Network AI fees can be further broken down into two fee streams: AI integration fees and capital markets execution fees.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primarily earn AI integration fees for the creation and delivery of the assets that comprise our Network Volume.</w:t>
      </w:r>
    </w:p>
    <w:p>
      <w:pPr>
        <w:spacing w:after="0" w:line="2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Capital markets execution and contract fees are primarily earned from investors. Multiple funding channels are utilized to enable the purchase of network assets from our Partners, such as asset backed securitizations. Capital markets execution fees are primarily earned from the market pricing of ABS transactions while contract fees are management, performance and similar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714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91" w:lineRule="exact"/>
        <w:rPr>
          <w:sz w:val="20"/>
          <w:szCs w:val="20"/>
          <w:color w:val="auto"/>
        </w:rPr>
      </w:pPr>
    </w:p>
    <w:p>
      <w:pPr>
        <w:jc w:val="both"/>
        <w:ind w:right="80" w:firstLine="8"/>
        <w:spacing w:after="0" w:line="233" w:lineRule="auto"/>
        <w:tabs>
          <w:tab w:leader="none" w:pos="107"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proprietary technology uses machine learning models as a subset of artificial intelligence that go through extensive testing, validation, and governance processes before they can be used or modified. The machine learning models are static and do not have the ability to self-correct, self-improve, and/or learn over time. Any change to the models requires human intervention, testing, validation, and governance approvals before a change can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Additionally, we earn interest income from our risk retention holdings and our corporate cash balances and investment income associated with our ownership interests in certain Financing Vehicles and other proprietary investments.</w:t>
      </w:r>
    </w:p>
    <w:p>
      <w:pPr>
        <w:spacing w:after="0" w:line="21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incur costs when Network Volume is acquired by the Financing Vehicles. These costs, which we refer to as ‘‘Production Costs,’’ compensate our Partners for acquiring and originating assets. Accordingly, the amount and growth of our Production Costs are highly correlated to Network Volume. An important operating metric to evaluate the success of our economic model, therefore, is FRLPC, or fee revenue less Production Costs.</w:t>
      </w:r>
    </w:p>
    <w:p>
      <w:pPr>
        <w:spacing w:after="0" w:line="19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Additionally, we have built what we believe to be a leading data science and AI organization that has enabled us to assist our Partners as they make decisions to extend credit to consumers or for the identification and purchase, or property management, of single-family rental properties. Excluding Production Costs, headcount, technology overhead and research and development expenses represent the significant portion of our expenses.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Key Factors Affecting Our Performance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Expanded Usage of Our Network by Our Existing Partners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AI technology typically enables Partners to convert a larger proportion of their application volume into originated loans, enabling them to expand their ecosystem and generate incremental revenues. Our Partners have historically seen rapid scaling of origination volume on our network shortly after onboarding and the contribution of Pagaya’s network to Partners’ total origination volume tends to increase over time. By integrating our product, connected lenders can increase originations by up to 25% in some cases.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Adoption of Our Network by Partners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devote significant time to, and have a team that focuses on, onboarding and managing Partners to our network. We believe that our success in adding new Partners to our network is driven by our distinctive value proposition: driving significant revenue uplift to our Partners at limited incremental cost or credit risk to the Partner. Our success adding new Partners has contributed to our overall Network Volume growth and driven our ability to rapidly scale new asset classes. In 2022, we onboarded six new Partners, including Klarna and Ally Financial. In 2023, we expanded our network with four new Partners, including U.S. Bank, a top 5 auto captive, Exeter Finance and Westlake Financial.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Continued Improvements to Our AI Technology</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believe our historical growth has been significantly influenced by improvements to our AI technology, which are in turn driven both by the deepening of our proprietary data network and the strengthening of our AI technology. As our existing Partners grow their usage of our network, new Partners join our network, and as we expand our network into new asset classes, the value of our data asset increases. Our technology improvements thus benefit from a flywheel effect that is characteristic of AI technology, in that improvements are derived from a continually increasing base of training data for our technology. We have found, and we expect to continue to experience, that more data leads to more efficient pricing and greater Network Volume. Since inception, we have evaluated more than $2.2 trillion in application volume.</w:t>
      </w:r>
    </w:p>
    <w:p>
      <w:pPr>
        <w:spacing w:after="0" w:line="12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to the accumulation of data, we make improvements to our technology by leveraging the experience of our research and development specialists. Our research team is central to accelerating the sophistication of our AI technology and expanding into new markets and use cases. We are reliant on these experts’ success in making these improvements to our technology over time.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Availability and Pricing of Funding from Investors</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Regardless of market conditions, the availability and pricing of funding from investors is critical to our growth. We have diversified our investor network and will continue to seek to further diversify our investor base. In the six months ended June 30, 2024, our top 5 ABS investors contributed approximately 50% of our total ABS funding, which remained constant compared to 50% in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5349240" cy="1671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of Assets Originated with the Assistance of Our Proprietary Technology</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availability of funding from investors is a function of demand for consumer credit and residential real estate assets, as well as the performance of such assets originated with the assistance of our AI technology and purchased by Financing Vehicles. Our AI technology and data-driven insights are designed to enable relative outperformance versus the broader market. We believe that investors in Financing Vehicles view our AI technology as an important component in delivering assets that meet their investment criteria. See “</w:t>
      </w:r>
      <w:r>
        <w:rPr>
          <w:rFonts w:ascii="Times New Roman" w:cs="Times New Roman" w:eastAsia="Times New Roman" w:hAnsi="Times New Roman"/>
          <w:sz w:val="16"/>
          <w:szCs w:val="16"/>
          <w:i w:val="1"/>
          <w:iCs w:val="1"/>
          <w:color w:val="auto"/>
        </w:rPr>
        <w:t>Risk Factors—Risks Related to the Operations of Our Business</w:t>
      </w:r>
      <w:r>
        <w:rPr>
          <w:rFonts w:ascii="Times New Roman" w:cs="Times New Roman" w:eastAsia="Times New Roman" w:hAnsi="Times New Roman"/>
          <w:sz w:val="16"/>
          <w:szCs w:val="16"/>
          <w:color w:val="auto"/>
        </w:rPr>
        <w:t>” in our Annual Report on Form 10-K, which was filed with the SEC on April 25,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Macroeconomic Cycles and Global and Regional Conditions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expect economic cycles to affect our financial performance and related metrics. Macroeconomic conditions, including, but not limited to the evolving conflict in Israel, rising interest rates, inflation, supply chain disruptions, labor shortages, bank failures, U.S. deficit concerns, and the Russian invasion of Ukraine, may impact consumer demand for financial products, our Partners’ ability to generate and convert customer application volume, as well as the availability of funding from our investors through the Financing Vehicles. On October 7, 2023, a terrorist organization primarily based in the Gaza Strip launched a series of attacks on Israel, igniting a war with Israel. The conflict is rapidly evolving and developing, and the intensity and duration of the current war and any escalation is difficult to predict, as are its economic impacts on the Company’s business and operations and on regional and global political and economic conditions in general. Although the Company’s business operations have not been materially impacted due to this evolving conflict as of the date of this Report, our business, financial condition, results of operations and prospects may be adversely affected due to the ongoing nature of this conflict. The recent rise in inflation and corresponding rapid rise in interest rates may increase financing costs and adversely impact the ability of borrowers to service their debt, which could lead to deterioration of the credit performance of loans and impact investor returns, and therefore may result in lower demand from investors for assets generated on our platform and lead to constraints on our ability to fund new Network Volume. In addition, rising inflation may create an escalation in our operating costs, including employee compensation, financing costs, and general corporate expenses, which could reduce our cash flow and operating income. As of the date of this report, we have not experienced material impacts to our business performance from inflationary pressure. Higher interest rates often lead to higher payment obligations, which may reduce the ability of borrowers to remain current on their obligations and therefore, lead to increased delinquencies, defaults, customer bankruptcies, charge-offs, and decreasing recoveries. Any impact to investor returns may lead to an adverse impact on our earnings. The increased risk-free rate of return may impact investor demand for risk assets such as consumer credit, which may constrain our ability to raise new funding for Network Volume. While our ability to raise new funding has not been materially impacted, the cost of capital has increased due to the higher interest rate environment which has led to a reduction in conversion ratio to meet investor return hurdles, more than offset by an increase in application volume to our network from our Partners, resulting in net growth in Network Volume this year. We continue to closely monitor the ongoing Russia-Ukraine conflict and its global impacts. While the outcome remains highly uncertain, we do not believe the ongoing Russia-Ukraine conflict will have a material impact on our business and results of operation. However, if the Russia-Ukraine conflict continues or worsens, leading to greater global economic disruptions and uncertainty, our business and results of operations could be materially impacted. Adverse developments that affect financial institutions, transactional counterparties or other third parties, such as bank failures and protracted U.S. federal debt ceiling negotiations, or concerns or speculation about any similar events or risks, could lead to credit downgrades and market-wide liquidity problems, which in turn may cause Partners and their customers and other third parties to become unable to meet their obligations under various types of financial arrangements as well as general disruptions or instability in the financial markets, which may adversely affect our business. A prolonged economic downturn may also adversely affect the performance of assets that Financing Vehicles acquire from our network. At the same time, such events, including the COVID-19 pandemic or the inflationary environment,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key data that we can utilize to improve our AI technology, and they may also help to validate the outcomes our network drives for both Partners and investors. For a further discussion of uncertainties and other factors that could impact our operating results, see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section in our Annual Report on Form 10-K, which was filed with the SEC on April 25, 2024.</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Key Operating Metric</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collect and analyze operating and financial data of our business to assess our performance, formulate financial projections and make strategic decisions. In addition to total revenues, net operating income (loss), other measures under U.S. GAAP, and certain non-GAAP financial measures (see discussion and reconciliation herein titled “Reconciliation of Non-GAAP Financial Measures”), we consider Network Volume to be a key operating metric we use to evaluate our business. The following table sets forth our Network Volume for the three and six months ended June 30, 2024 and 2023.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60" w:type="dxa"/>
            <w:vAlign w:val="bottom"/>
          </w:tcPr>
          <w:p>
            <w:pPr>
              <w:spacing w:after="0"/>
              <w:rPr>
                <w:sz w:val="18"/>
                <w:szCs w:val="18"/>
                <w:color w:val="auto"/>
              </w:rPr>
            </w:pPr>
          </w:p>
        </w:tc>
        <w:tc>
          <w:tcPr>
            <w:tcW w:w="3120" w:type="dxa"/>
            <w:vAlign w:val="bottom"/>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6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3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4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8"/>
        </w:trPr>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Network Volume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2,331</w:t>
            </w:r>
          </w:p>
        </w:tc>
        <w:tc>
          <w:tcPr>
            <w:tcW w:w="4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4,750</w:t>
            </w:r>
          </w:p>
        </w:tc>
        <w:tc>
          <w:tcPr>
            <w:tcW w:w="4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Network Volume</w:t>
      </w:r>
    </w:p>
    <w:p>
      <w:pPr>
        <w:spacing w:after="0" w:line="2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believe the Network Volume metric to be a suitable proxy for our overall scale and reach, as we generate revenue primarily on the basis of Network Volume. Network Volume is primarily driven by our relationships with our Partners and SFR Partners, and we believe that this has benefited from continuous improvements to our proprietary technology, enabling our network to more effectively identify assets for acquisition by the Financing Vehicles, thereby providing additional investment opportunities to investors. Network Volume is comprised of assets across several asset classes, including personal loans, auto loans, residential real estate, and point of sale receivables.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generate revenue from network AI fees, contract fees, interest income and investment income. Network AI fees and contract fees are presented together as Revenue from fees in the consolidated financial statements. Revenue from fees is recognized after applying the five-step model consistent with Financial Accounting Standards Board Accounting Standards Codification (“ASC”) 606, “Revenue from Contracts with Consumers” (“ASC 606”). Revenue from fees is inclusive of network AI fees and contract fees.</w:t>
      </w:r>
    </w:p>
    <w:p>
      <w:pPr>
        <w:spacing w:after="0" w:line="159"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Network AI fees. </w:t>
      </w:r>
      <w:r>
        <w:rPr>
          <w:rFonts w:ascii="Times New Roman" w:cs="Times New Roman" w:eastAsia="Times New Roman" w:hAnsi="Times New Roman"/>
          <w:sz w:val="16"/>
          <w:szCs w:val="16"/>
          <w:color w:val="auto"/>
        </w:rPr>
        <w:t>Network AI fees can be further broken down into two fee streams: AI integration fees and capital markets execution fees. We earn AI integration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fees for the creation and delivery of the assets that comprise our Network Volume. Multiple funding channels are used to enable the purchase of network assets from our Partners, such as ABS. Capital markets execution fees are earned when a pre-funded, Pagaya-sponsored ABS vehicle is sold by underwriters.</w:t>
      </w:r>
    </w:p>
    <w:p>
      <w:pPr>
        <w:spacing w:after="0" w:line="106"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Contract fees. </w:t>
      </w:r>
      <w:r>
        <w:rPr>
          <w:rFonts w:ascii="Times New Roman" w:cs="Times New Roman" w:eastAsia="Times New Roman" w:hAnsi="Times New Roman"/>
          <w:sz w:val="16"/>
          <w:szCs w:val="16"/>
          <w:color w:val="auto"/>
        </w:rPr>
        <w:t>Contract fees primarily include administration and management fees, and performance fees. Administration and management fees are contracted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upon the establishment of Financing Vehicles and are earned and collected over their remaining lives. Performance fees are earned when certain Financing Vehicles exceed contractual return hurdles and a significant reversal in the amount of cumulative revenue recognized is not expected to occur.</w:t>
      </w:r>
    </w:p>
    <w:p>
      <w:pPr>
        <w:spacing w:after="0" w:line="10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also earn interest income from our risk retention holdings and cash balances and investment income associated with our ownership interests in certain Financing Vehicles and other proprietary investments.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Costs and Operating Expenses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Costs and operating expenses consist of Production Costs, technology, data and product development expenses, sales and marketing expenses, and general and administrative expenses. Salaries and personnel-related costs, including benefits, bonuses, share-based compensation, and outsourcing comprise a significant component of several of these expense categories. A portion of our non-share-based compensation expense and, to a lesser extent, certain operating expenses (excluding Production Costs) are denominated in the new Israeli shekel (“NIS”), which could result in variability in our operating expenses which are presented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Production Costs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Production Costs are primarily comprised of expenses incurred when Network Volume is transferred from Partners into Financing Vehicles, as our Partners are responsible for marketing and customer interaction and facilitating the flow of additional application flow. Accordingly, the amount and growth of our Production Costs are highly correlated to Network Volume. Additionally, but to a lesser extent, Production Costs also include expenses incurred to renovate single-family rental properties.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Technology, Data and Product Development</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Technology, data and product development expenses primarily comprise costs associated with the maintenance and ongoing development of our network and AI technology, including personnel, allocated costs, and other development-related expenses. Technology, data and product development costs, net of amounts capitalized in accordance with U.S. GAAP, are expensed as incurred. The capitalized internal-use software is amortized on a straight-line method over the estimated useful life in technology, data and product development costs. We have invested and believe continued investments in technology, data and product development are important to achieving our strategic objectives.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Sales and marketing expenses, related to Partner onboarding, development, and relationship management, as well as capital markets investor engagement and marketing, are comprised primarily of salaries and personnel-related costs, as well as the costs of certain professional services, and allocated overhead. Sales and marketing expenses are expensed as incurred. Sales and marketing expenses in absolute dollars may fluctuate from period to period based on the timing of our investments in our sales and marketing functions. These investments may vary in scope and scale over future periods depending on our pipeline of new Partners and strategic investors.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pacing w:after="0" w:line="2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General and administrative expenses primarily comprise personnel-related costs for our executives, finance, legal and other administrative functions, insurance costs, professional fees for external legal, accounting and other professional services and allocated overhead costs. General and administrative expenses are expensed as incurred.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 (expense), net</w:t>
      </w:r>
    </w:p>
    <w:p>
      <w:pPr>
        <w:spacing w:after="0" w:line="21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Other Income (expense), net primarily consists of changes in the fair value of warrant liabilities and other items, including credit-related impairment losses on investments in loans and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account for taxes on income in accordance with ASC 740, “Income Taxes” (“ASC 740”). We are eligible for certain tax benefits in Israel under the Law for the Encouragement of Capital Investments or the Investment Law at a reduced tax rate of 12%. Accordingly, as we generate taxable income in Israel, our effective tax rate is expected to be lower than the standard corporate tax rate for Israeli companies, which is 23%. Our taxable income generated in the United States or derived from other sources in Israel which is not eligible for tax benefits will be subject to the regular corporate tax rate in their respective tax jurisdictions.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Attributable to Noncontrolling Interests</w:t>
      </w:r>
    </w:p>
    <w:p>
      <w:pPr>
        <w:spacing w:after="0" w:line="2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Net income attributable to noncontrolling interests in our consolidated statements of operations is a result of our investments in certain of our consolidated variable interest entities (‘‘VIEs’’) and consists of the portion of the net income of these consolidated entities that is not attributable to us.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operating results for the periods indicated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4"/>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24"/>
                <w:szCs w:val="24"/>
                <w:color w:val="auto"/>
              </w:rPr>
            </w:pPr>
          </w:p>
        </w:tc>
        <w:tc>
          <w:tcPr>
            <w:tcW w:w="232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1160" w:type="dxa"/>
            <w:vAlign w:val="bottom"/>
            <w:tcBorders>
              <w:bottom w:val="single" w:sz="8" w:color="CCEEFF"/>
            </w:tcBorders>
          </w:tcPr>
          <w:p>
            <w:pPr>
              <w:spacing w:after="0"/>
              <w:rPr>
                <w:sz w:val="18"/>
                <w:szCs w:val="18"/>
                <w:color w:val="auto"/>
              </w:rPr>
            </w:pPr>
          </w:p>
        </w:tc>
        <w:tc>
          <w:tcPr>
            <w:tcW w:w="49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 from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242,594</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185,685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479,598</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360,939</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20,590</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Investment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0" w:type="dxa"/>
            <w:vAlign w:val="bottom"/>
          </w:tcPr>
          <w:p>
            <w:pPr>
              <w:spacing w:after="0"/>
              <w:rPr>
                <w:sz w:val="1"/>
                <w:szCs w:val="1"/>
                <w:color w:val="auto"/>
              </w:rPr>
            </w:pPr>
          </w:p>
        </w:tc>
      </w:tr>
      <w:tr>
        <w:trPr>
          <w:trHeight w:val="20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and Other Income</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250,344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495,620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382,250</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Production costs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245,670</w:t>
            </w:r>
          </w:p>
        </w:tc>
        <w:tc>
          <w:tcPr>
            <w:tcW w:w="0" w:type="dxa"/>
            <w:vAlign w:val="bottom"/>
          </w:tcPr>
          <w:p>
            <w:pPr>
              <w:spacing w:after="0"/>
              <w:rPr>
                <w:sz w:val="1"/>
                <w:szCs w:val="1"/>
                <w:color w:val="auto"/>
              </w:rPr>
            </w:pPr>
          </w:p>
        </w:tc>
      </w:tr>
      <w:tr>
        <w:trPr>
          <w:trHeight w:val="213"/>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Technology, data and product development (1)</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38,794</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Sales and marketing (1)</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28,858</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General and administrative (1)</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64,449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127,517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104,142</w:t>
            </w:r>
          </w:p>
        </w:tc>
        <w:tc>
          <w:tcPr>
            <w:tcW w:w="0" w:type="dxa"/>
            <w:vAlign w:val="bottom"/>
          </w:tcPr>
          <w:p>
            <w:pPr>
              <w:spacing w:after="0"/>
              <w:rPr>
                <w:sz w:val="1"/>
                <w:szCs w:val="1"/>
                <w:color w:val="auto"/>
              </w:rPr>
            </w:pPr>
          </w:p>
        </w:tc>
      </w:tr>
      <w:tr>
        <w:trPr>
          <w:trHeight w:val="212"/>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245,317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482,903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417,464</w:t>
            </w:r>
          </w:p>
        </w:tc>
        <w:tc>
          <w:tcPr>
            <w:tcW w:w="0" w:type="dxa"/>
            <w:vAlign w:val="bottom"/>
          </w:tcPr>
          <w:p>
            <w:pPr>
              <w:spacing w:after="0"/>
              <w:rPr>
                <w:sz w:val="1"/>
                <w:szCs w:val="1"/>
                <w:color w:val="auto"/>
              </w:rPr>
            </w:pPr>
          </w:p>
        </w:tc>
      </w:tr>
      <w:tr>
        <w:trPr>
          <w:trHeight w:val="20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(35,214)</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(107,543)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(83,875)</w:t>
            </w:r>
          </w:p>
        </w:tc>
        <w:tc>
          <w:tcPr>
            <w:tcW w:w="0" w:type="dxa"/>
            <w:vAlign w:val="bottom"/>
          </w:tcPr>
          <w:p>
            <w:pPr>
              <w:spacing w:after="0"/>
              <w:rPr>
                <w:sz w:val="1"/>
                <w:szCs w:val="1"/>
                <w:color w:val="auto"/>
              </w:rPr>
            </w:pPr>
          </w:p>
        </w:tc>
      </w:tr>
      <w:tr>
        <w:trPr>
          <w:trHeight w:val="20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(68,167)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(119,089)</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11,673</w:t>
            </w:r>
          </w:p>
        </w:tc>
        <w:tc>
          <w:tcPr>
            <w:tcW w:w="0" w:type="dxa"/>
            <w:vAlign w:val="bottom"/>
          </w:tcPr>
          <w:p>
            <w:pPr>
              <w:spacing w:after="0"/>
              <w:rPr>
                <w:sz w:val="1"/>
                <w:szCs w:val="1"/>
                <w:color w:val="auto"/>
              </w:rPr>
            </w:pPr>
          </w:p>
        </w:tc>
      </w:tr>
      <w:tr>
        <w:trPr>
          <w:trHeight w:val="20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(82,679)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(114,341)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(130,762)</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(38,494)</w:t>
            </w:r>
          </w:p>
        </w:tc>
        <w:tc>
          <w:tcPr>
            <w:tcW w:w="0" w:type="dxa"/>
            <w:vAlign w:val="bottom"/>
          </w:tcPr>
          <w:p>
            <w:pPr>
              <w:spacing w:after="0"/>
              <w:rPr>
                <w:sz w:val="1"/>
                <w:szCs w:val="1"/>
                <w:color w:val="auto"/>
              </w:rPr>
            </w:pPr>
          </w:p>
        </w:tc>
      </w:tr>
      <w:tr>
        <w:trPr>
          <w:trHeight w:val="212"/>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Pagaya Technologies Ltd.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(74,785)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(31,297)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(96,008)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(92,268)</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shd w:val="clear" w:color="auto" w:fill="CCEEFF"/>
          </w:tcPr>
          <w:p>
            <w:pPr>
              <w:spacing w:after="0"/>
              <w:rPr>
                <w:sz w:val="15"/>
                <w:szCs w:val="15"/>
                <w:color w:val="auto"/>
              </w:rPr>
            </w:pPr>
          </w:p>
        </w:tc>
        <w:tc>
          <w:tcPr>
            <w:tcW w:w="4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per share: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 and Diluted (2)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adjusted net income (loss) (3)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Non-GAAP adjusted net income (loss) per share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 and Diluted (2)</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71,765,884</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59,609,788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68,113,860</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59,386,974</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 (Non-GAAP):</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 (2)</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71,765,884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59,609,788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68,113,860</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59,386,974</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(2)</w:t>
            </w: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73,002,689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60,330,996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69,485,741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60,105,698</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following table sets forth share-based compensation for the periods indicated below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18"/>
                <w:szCs w:val="18"/>
                <w:color w:val="auto"/>
              </w:rPr>
            </w:pPr>
          </w:p>
        </w:tc>
        <w:tc>
          <w:tcPr>
            <w:tcW w:w="232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6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5,448</w:t>
            </w: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7,510</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23,617</w:t>
            </w:r>
          </w:p>
        </w:tc>
      </w:tr>
      <w:tr>
        <w:trPr>
          <w:trHeight w:val="212"/>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share-based compensation in operating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18,044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33,519</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36,575</w:t>
            </w: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amounts have been retroactively adjusted to reflect the 1-for-12 reverse share split effected on March 8, 2024.</w:t>
      </w:r>
    </w:p>
    <w:p>
      <w:pPr>
        <w:spacing w:after="0" w:line="24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“—Reconciliation of Non-GAAP Financial Measures” for a reconciliation of this and Adjusted EBITDA.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Three Months Ended June 30, 2024 and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Revenue and Other Income</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84"/>
        </w:trPr>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622"/>
        </w:trPr>
        <w:tc>
          <w:tcPr>
            <w:tcW w:w="1160" w:type="dxa"/>
            <w:vAlign w:val="bottom"/>
            <w:tcBorders>
              <w:top w:val="single" w:sz="8" w:color="0000FF"/>
            </w:tcBorders>
          </w:tcPr>
          <w:p>
            <w:pPr>
              <w:spacing w:after="0"/>
              <w:rPr>
                <w:sz w:val="24"/>
                <w:szCs w:val="24"/>
                <w:color w:val="auto"/>
              </w:rPr>
            </w:pPr>
          </w:p>
        </w:tc>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4"/>
        </w:trPr>
        <w:tc>
          <w:tcPr>
            <w:tcW w:w="1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6"/>
        </w:trPr>
        <w:tc>
          <w:tcPr>
            <w:tcW w:w="116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4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r>
      <w:tr>
        <w:trPr>
          <w:trHeight w:val="33"/>
        </w:trPr>
        <w:tc>
          <w:tcPr>
            <w:tcW w:w="4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4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Revenue from fees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56,909</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3"/>
        </w:trPr>
        <w:tc>
          <w:tcPr>
            <w:tcW w:w="4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4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7"/>
        </w:trPr>
        <w:tc>
          <w:tcPr>
            <w:tcW w:w="4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Total Revenue and Other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250,344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195,612</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54,732</w:t>
            </w:r>
          </w:p>
        </w:tc>
        <w:tc>
          <w:tcPr>
            <w:tcW w:w="12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r>
    </w:tbl>
    <w:p>
      <w:pPr>
        <w:spacing w:after="0" w:line="200" w:lineRule="exact"/>
        <w:rPr>
          <w:sz w:val="20"/>
          <w:szCs w:val="20"/>
          <w:color w:val="auto"/>
        </w:rPr>
      </w:pPr>
    </w:p>
    <w:p>
      <w:pPr>
        <w:spacing w:after="0" w:line="31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Total revenue and other income, increased by $54.7 million, or 28%, to $250.3 million for the three months ended June 30, 2024 from $195.6 million for the three months ended June 30, 2023. The increase was primarily driven by an increase in revenue from fees, partially offset by decreases in interest income and investment income.</w:t>
      </w:r>
    </w:p>
    <w:p>
      <w:pPr>
        <w:spacing w:after="0" w:line="1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Revenue from fees for the three months ended June 30, 2024 increased by $56.9 million, or 31%, to $242.6 million, compared to the same period in 2023. The increase was primarily due to a $54.3 million increase in Network AI fees, comprised of AI integration fees and capital markets execution fees, from $167.5 million for the three months ended June 30, 2023 to $221.8 million for the three months ended June 30, 2024. The increase in Network AI fees was primarily driven by improved economics in AI integration fees earned from certain Partners, as well as the growth in Network Volume, which increased by 19.1% from $2.0 billion for the three months ended June 30, 2023 to $2.3 billion for the three months ended June 30, 2024. These increases were partially offset by a decrease in capital markets execution fees earned from our ABS transactions affected by tighter economic environment during the three months ended June 30, 2024.</w:t>
      </w:r>
    </w:p>
    <w:p>
      <w:pPr>
        <w:spacing w:after="0" w:line="2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Contract fees, comprised of administration and management fees, performances fees, and servicing fees, increased by $2.7 million from $18.2 million for the three months ended June 30, 2023 to $20.8 million for the three months ended June 30, 2024, reflecting an increase in net asset values of the assets held by certain Financing Vehicles driven by continued business growth.</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Interest income decreased by $2.0 million, or 20%, to $8.2 million for the three months ended June 30, 2024 from $10.2 million for the three months ended June 30, 2023. The decrease in interest income was directly related to our risk retention holdings and related securities held in our consolidated VIEs as well as certain risk retention holdings held directly by our consolidated subsidiaries. For further information, see “—Net Income (Loss) Attributable to Noncontrolling Interests.” The decrease in interest income was primarily the result of changes in structure and composition of asset portfolio, partially offset by higher interest income on our cash balances.</w:t>
      </w:r>
    </w:p>
    <w:p>
      <w:pPr>
        <w:spacing w:after="0" w:line="22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Investment income (loss) decreased by $0.2 million to a loss of $0.4 million for the three months ended June 30, 2024, reflecting an unfavorable impact from the change in valuation of certain proprietary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Operating Expenses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4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r>
      <w:tr>
        <w:trPr>
          <w:trHeight w:val="211"/>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60" w:type="dxa"/>
            <w:vAlign w:val="bottom"/>
          </w:tcPr>
          <w:p>
            <w:pPr>
              <w:spacing w:after="0"/>
              <w:rPr>
                <w:sz w:val="18"/>
                <w:szCs w:val="18"/>
                <w:color w:val="auto"/>
              </w:rPr>
            </w:pPr>
          </w:p>
        </w:tc>
      </w:tr>
      <w:tr>
        <w:trPr>
          <w:trHeight w:val="21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Production costs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120,613</w:t>
            </w:r>
          </w:p>
        </w:tc>
      </w:tr>
      <w:tr>
        <w:trPr>
          <w:trHeight w:val="213"/>
        </w:trPr>
        <w:tc>
          <w:tcPr>
            <w:tcW w:w="4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17,663</w:t>
            </w:r>
          </w:p>
        </w:tc>
      </w:tr>
      <w:tr>
        <w:trPr>
          <w:trHeight w:val="219"/>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14,558</w:t>
            </w:r>
          </w:p>
        </w:tc>
      </w:tr>
      <w:tr>
        <w:trPr>
          <w:trHeight w:val="213"/>
        </w:trPr>
        <w:tc>
          <w:tcPr>
            <w:tcW w:w="4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64,449</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53,016</w:t>
            </w:r>
          </w:p>
        </w:tc>
      </w:tr>
      <w:tr>
        <w:trPr>
          <w:trHeight w:val="212"/>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245,317</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205,850</w:t>
            </w:r>
          </w:p>
        </w:tc>
      </w:tr>
      <w:tr>
        <w:trPr>
          <w:trHeight w:val="514"/>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Production Costs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4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6"/>
        </w:trPr>
        <w:tc>
          <w:tcPr>
            <w:tcW w:w="4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Production costs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145,602</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120,613</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Production costs increased by $25.0 million, or 21%, to $145.6 million for the three months ended June 30, 2024 from $120.6 million for the three months ended June 30, 2023. This increase was predominantly due to increases in Network Volume and to a lesser extent the composition of the asset classes that make up our Network Volume, as well as new Partners onboarded to our network.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Technology, Data and Product development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4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21,935</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17,663</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4,272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bl>
    <w:p>
      <w:pPr>
        <w:spacing w:after="0" w:line="3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Technology, data and product development costs for the three months ended June 30, 2024 increased $4.3 million, or 24%, compared to the same period in 2023. The increase was primarily driven by a $4.4 million increase in depreciation of capitalized software, inclusive of impairment charges, and a $0.6 million increase in overhead allocation and other miscellaneous costs. These increases were partially offset by a $0.9 million decrease in compensation expenses.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During the three months ended June 30, 2024 and 2023, we capitalized $5.9 million and $7.5 million of software development costs, respectively. Depreciation expense, including impairment charges, for capitalized software development costs was $7.9 million and $3.5 million during the three months ended June 30, 2024 and 2023,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right="2719"/>
              <w:spacing w:after="0"/>
              <w:rPr>
                <w:sz w:val="20"/>
                <w:szCs w:val="20"/>
                <w:color w:val="auto"/>
              </w:rPr>
            </w:pPr>
            <w:r>
              <w:rPr>
                <w:rFonts w:ascii="Times New Roman" w:cs="Times New Roman" w:eastAsia="Times New Roman" w:hAnsi="Times New Roman"/>
                <w:sz w:val="16"/>
                <w:szCs w:val="16"/>
                <w:b w:val="1"/>
                <w:bCs w:val="1"/>
                <w:color w:val="auto"/>
              </w:rPr>
              <w:t>Sales and Marketing</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shd w:val="clear" w:color="auto" w:fill="CCEEFF"/>
          </w:tcPr>
          <w:p>
            <w:pPr>
              <w:jc w:val="center"/>
              <w:ind w:right="2699"/>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13,331</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14,558</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(1,227)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bl>
    <w:p>
      <w:pPr>
        <w:spacing w:after="0" w:line="27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Sales and marketing costs for the three months ended June 30, 2024 decreased $1.2 million, or 8%, compared to the same period in 2023, primarily driven by a $1.0 million decrease in compensation expenses due to decreased headcount. Also contributing to the decrease was a $0.3 million decrease in expenses related to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73"/>
        </w:trPr>
        <w:tc>
          <w:tcPr>
            <w:tcW w:w="4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64,449</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53,016</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11,433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bl>
    <w:p>
      <w:pPr>
        <w:spacing w:after="0" w:line="3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General and administrative costs for the three months ended June 30, 2024 increased $11.4 million, or 22%, compared to the same period in 2023. Excluding a $13.4 million loss from loan purchases during the three months ended June 30, 2024, general and administrative costs decreased $2.0 million, primarily driven by a $1.5 million decrease in miscellaneous costs, including overhead allocations, and a $0.6 million decrease in professional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shd w:val="clear" w:color="auto" w:fill="CCEEFF"/>
          </w:tcPr>
          <w:p>
            <w:pPr>
              <w:jc w:val="center"/>
              <w:ind w:right="2799"/>
              <w:spacing w:after="0"/>
              <w:rPr>
                <w:sz w:val="20"/>
                <w:szCs w:val="20"/>
                <w:color w:val="auto"/>
              </w:rPr>
            </w:pPr>
            <w:r>
              <w:rPr>
                <w:rFonts w:ascii="Times New Roman" w:cs="Times New Roman" w:eastAsia="Times New Roman" w:hAnsi="Times New Roman"/>
                <w:sz w:val="16"/>
                <w:szCs w:val="16"/>
                <w:color w:val="auto"/>
              </w:rPr>
              <w:t>Other expense, net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(16,895)</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(56,299)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r>
    </w:tbl>
    <w:p>
      <w:pPr>
        <w:spacing w:after="0" w:line="2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Other expense, net for the three months ended June 30, 2024 increased $56.3 million compared to the same period in 2023. The increase was primarily due to a higher credit-related impairment loss of $44.9 million on certain investments, driven by changes in the fair value of investments in loans and securities as a result of fluctuations in key inputs to the discounted cash flow models used to determine fair value. We are not exposed economically to a significant portion of these fair value changes as certain investments are held within consolidated VIEs. For further information, see “—Net Income (Loss) Attributable to Noncontrolling Interests.” Also contributing to the increase was higher interest expenses of $14.3 million due to higher interest rates and</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increased borrowings to support business growth, partially offset by a $2.3 million favorable impact from the changes in fair value remeasurement of warrants.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right="2719"/>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shd w:val="clear" w:color="auto" w:fill="CCEEFF"/>
          </w:tcPr>
          <w:p>
            <w:pPr>
              <w:jc w:val="center"/>
              <w:ind w:right="2719"/>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14,512</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9,506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190 %</w:t>
            </w:r>
          </w:p>
        </w:tc>
      </w:tr>
    </w:tbl>
    <w:p>
      <w:pPr>
        <w:spacing w:after="0" w:line="27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Income tax expense for the three months ended June 30, 2024 increased $9.5 million, compared to the same period in 2023. The increase was primarily driven by geographical mix of taxable net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49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4"/>
        </w:trPr>
        <w:tc>
          <w:tcPr>
            <w:tcW w:w="49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260" w:type="dxa"/>
            <w:vAlign w:val="bottom"/>
          </w:tcPr>
          <w:p>
            <w:pPr>
              <w:spacing w:after="0"/>
              <w:rPr>
                <w:sz w:val="18"/>
                <w:szCs w:val="18"/>
                <w:color w:val="auto"/>
              </w:rPr>
            </w:pPr>
          </w:p>
        </w:tc>
      </w:tr>
      <w:tr>
        <w:trPr>
          <w:trHeight w:val="218"/>
        </w:trPr>
        <w:tc>
          <w:tcPr>
            <w:tcW w:w="4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(7,052)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r>
    </w:tbl>
    <w:p>
      <w:pPr>
        <w:spacing w:after="0" w:line="2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Net loss attributable to noncontrolling interests for the three months ended June 30, 2024 increased $7.1 million compared to the same period in 2023. The increase was driven by the net loss generated by our consolidated VIEs associated with our risk retention holdings. This amount represented the net income (loss) of the consolidated VIEs to which we had no economic right and was the result of interest income of $1.4 million generated from risk retention holdings offset by the credit-related impairment loss of $9.2 million on the same risk retention holdings. For further information, see “—Total Revenue and Other Income” and “—Other Expense, Net.”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Comparison of Six Months Ended June 30, 2024 and 2023</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2"/>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 and Other Income</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4180" w:type="dxa"/>
            <w:vAlign w:val="bottom"/>
          </w:tcPr>
          <w:p>
            <w:pPr>
              <w:spacing w:after="0"/>
              <w:rPr>
                <w:sz w:val="21"/>
                <w:szCs w:val="21"/>
                <w:color w:val="auto"/>
              </w:rPr>
            </w:pPr>
          </w:p>
        </w:tc>
        <w:tc>
          <w:tcPr>
            <w:tcW w:w="290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6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14"/>
        </w:trPr>
        <w:tc>
          <w:tcPr>
            <w:tcW w:w="4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6"/>
        </w:trPr>
        <w:tc>
          <w:tcPr>
            <w:tcW w:w="4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4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r>
      <w:tr>
        <w:trPr>
          <w:trHeight w:val="33"/>
        </w:trPr>
        <w:tc>
          <w:tcPr>
            <w:tcW w:w="4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Revenue from fees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479,598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118,659</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13"/>
        </w:trPr>
        <w:tc>
          <w:tcPr>
            <w:tcW w:w="4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 income</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07"/>
        </w:trPr>
        <w:tc>
          <w:tcPr>
            <w:tcW w:w="4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Revenue and Other Income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495,620</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382,250</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113,370</w:t>
            </w:r>
          </w:p>
        </w:tc>
        <w:tc>
          <w:tcPr>
            <w:tcW w:w="12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r>
    </w:tbl>
    <w:p>
      <w:pPr>
        <w:spacing w:after="0" w:line="2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Total revenue and other income, increased by $113.4 million, or 30%, to $495.6 million for the six months ended June 30, 2024 from $382.3 million for the six months ended June 30, 2023. The increase was primarily driven by an increase in revenue from fees, partially offset by decreases in interest income and investment income.</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Revenue from fees for the six months ended June 30, 2024 increased by $118.7 million, or 33%, to $479.6 million, compared to the same period in 2023. The increase was primarily due to a $115.6 million increase in Network AI fees, comprised of AI integration fees and capital markets execution fees, from $321.5 million for the six months ended June 30, 2023 to $437.1 million for the six months ended June 30, 2024. The increase in Network AI fees was primarily driven by improved economics in AI integration fees earned from certain Partners, as well as the growth in Network Volume, which increased by 25% from $3.8 billion for the six months ended June 30, 2023 to $4.8 billion for the six months ended June 30, 2024. Capital execution fees earned from our ABS transactions for the six months ended June 30, 2023 remained relatively flat compared to the same period in 2023.</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Contract fees, comprised of administration and management fees and performance fees, increased by $3.1 million from $39.4 million for the six months ended June 30, 2023 to $42.5 million for the six months ended June 30, 2024, reflecting an increase in net asset values of the assets held by certain Financing Vehicles driven by continued business growth.</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Interest income decreased by $4.7 million, or 23%, to $15.9 million for the six months ended June 30, 2024 from $20.6 million for the six months ended June 30, 2023. The decrease in interest income was directly related to our risk retention holdings and related securities held in our consolidated VIEs as well as certain risk retention holdings held directly by our consolidated</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subsidiaries. For further information, see “—Net Income (Loss) Attributable to Noncontrolling Interests.” The decrease in interest income was primarily the result of changes in structure and composition of the investments in loans and securities portfolio, partially offset by higher interest income on our cash balances.</w:t>
      </w:r>
    </w:p>
    <w:p>
      <w:pPr>
        <w:spacing w:after="0" w:line="1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Investment income decreased by $0.6 million to $0.1 million for the six months ended June 30, 2024 from $0.7 million for six months ended June 30, 2023, reflecting a less favorable impact from the change in valuation of certain proprietary investments.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Operating Expenses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2"/>
        </w:trPr>
        <w:tc>
          <w:tcPr>
            <w:tcW w:w="4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r>
      <w:tr>
        <w:trPr>
          <w:trHeight w:val="211"/>
        </w:trPr>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20" w:type="dxa"/>
            <w:vAlign w:val="bottom"/>
          </w:tcPr>
          <w:p>
            <w:pPr>
              <w:spacing w:after="0"/>
              <w:rPr>
                <w:sz w:val="18"/>
                <w:szCs w:val="18"/>
                <w:color w:val="auto"/>
              </w:rPr>
            </w:pPr>
          </w:p>
        </w:tc>
      </w:tr>
      <w:tr>
        <w:trPr>
          <w:trHeight w:val="218"/>
        </w:trPr>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Production costs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290,483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245,670</w:t>
            </w:r>
          </w:p>
        </w:tc>
      </w:tr>
      <w:tr>
        <w:trPr>
          <w:trHeight w:val="213"/>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38,794</w:t>
            </w:r>
          </w:p>
        </w:tc>
      </w:tr>
      <w:tr>
        <w:trPr>
          <w:trHeight w:val="219"/>
        </w:trPr>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28,858</w:t>
            </w:r>
          </w:p>
        </w:tc>
      </w:tr>
      <w:tr>
        <w:trPr>
          <w:trHeight w:val="213"/>
        </w:trPr>
        <w:tc>
          <w:tcPr>
            <w:tcW w:w="4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127,517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104,142</w:t>
            </w:r>
          </w:p>
        </w:tc>
      </w:tr>
      <w:tr>
        <w:trPr>
          <w:trHeight w:val="212"/>
        </w:trPr>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482,903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417,464</w:t>
            </w:r>
          </w:p>
        </w:tc>
      </w:tr>
      <w:tr>
        <w:trPr>
          <w:trHeight w:val="528"/>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Production Costs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9"/>
        </w:trPr>
        <w:tc>
          <w:tcPr>
            <w:tcW w:w="4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4"/>
        </w:trPr>
        <w:tc>
          <w:tcPr>
            <w:tcW w:w="4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46"/>
        </w:trPr>
        <w:tc>
          <w:tcPr>
            <w:tcW w:w="4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3"/>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Production costs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290,483</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245,670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bl>
    <w:p>
      <w:pPr>
        <w:spacing w:after="0" w:line="2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Production costs increased by $44.8 million, or 18%, to $290.5 million for the six months ended June 30, 2024 from $245.7 million for the six months ended June 30, 2023. This increase was predominantly due to increases in Network Volume and to a lesser extent the composition of the asset classes that make up our Network Volume, as well as new Partners onboarded to our network.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Technology, Data and Product Development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4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44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41,315</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38,794</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2,521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r>
    </w:tbl>
    <w:p>
      <w:pPr>
        <w:spacing w:after="0" w:line="3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Technology, data and product development costs for the six months ended June 30, 2024 increased $2.5 million, or 6%, compared to the same period in 2023. The increase was primarily driven by a $6.0 million increase in depreciation of capitalized software, inclusive of impairment charges, and a $1.6 million increase in overhead allocation and other miscellaneous costs. These increases were partially offset by a $4.0 million decrease in compensation expenses and a $1.2 million decrease in server costs.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During the six months ended June 30, 2024 and 2023, we capitalized $12.2 million and $13.6 million of software development costs, respectively. Depreciation expense, including impairment charges, for capitalized software development costs was $13.5 million and $7.5 million during the six months ended June 30, 2024 and 2023, respectively.</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right="2719"/>
              <w:spacing w:after="0"/>
              <w:rPr>
                <w:sz w:val="20"/>
                <w:szCs w:val="20"/>
                <w:color w:val="auto"/>
              </w:rPr>
            </w:pPr>
            <w:r>
              <w:rPr>
                <w:rFonts w:ascii="Times New Roman" w:cs="Times New Roman" w:eastAsia="Times New Roman" w:hAnsi="Times New Roman"/>
                <w:sz w:val="16"/>
                <w:szCs w:val="16"/>
                <w:b w:val="1"/>
                <w:bCs w:val="1"/>
                <w:color w:val="auto"/>
              </w:rPr>
              <w:t>Sales and Marketing</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shd w:val="clear" w:color="auto" w:fill="CCEEFF"/>
          </w:tcPr>
          <w:p>
            <w:pPr>
              <w:jc w:val="center"/>
              <w:ind w:right="2699"/>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23,588</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28,858</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(5,270)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bl>
    <w:p>
      <w:pPr>
        <w:spacing w:after="0" w:line="27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Sales and marketing costs for the six months ended June 30, 2024 decreased $5.3 million, or 18%, compared to the same period in 2023, primarily driven by a $4.3 million decrease in compensation expenses due to decreased headcount and a $0.9 million decrease in expenses related to marketing and miscellaneous costs.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3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824"/>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0"/>
        </w:trPr>
        <w:tc>
          <w:tcPr>
            <w:tcW w:w="11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4"/>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127,517</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104,142</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23,375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bl>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General and administrative costs for the six months ended June 30, 2024 increased $23.4 million, or 22%, compared to the same period in 2023. Excluding a $18.4 million loss from loan purchases during the six months ended June 30, 2024, general and administrative costs increased $4.9 million, primarily driven by a $6.6 million increase in professional and transaction-related expenses supporting business initiatives, partially offset by a $1.2 million decrease in compensation expenses and a $0.5 million decrease in miscellaneous costs, including overhead allocations.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4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shd w:val="clear" w:color="auto" w:fill="CCEEFF"/>
          </w:tcPr>
          <w:p>
            <w:pPr>
              <w:jc w:val="center"/>
              <w:ind w:right="2799"/>
              <w:spacing w:after="0"/>
              <w:rPr>
                <w:sz w:val="20"/>
                <w:szCs w:val="20"/>
                <w:color w:val="auto"/>
              </w:rPr>
            </w:pPr>
            <w:r>
              <w:rPr>
                <w:rFonts w:ascii="Times New Roman" w:cs="Times New Roman" w:eastAsia="Times New Roman" w:hAnsi="Times New Roman"/>
                <w:sz w:val="16"/>
                <w:szCs w:val="16"/>
                <w:color w:val="auto"/>
              </w:rPr>
              <w:t>Other expense, net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(107,543)</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(83,875)</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(23,668)</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bl>
    <w:p>
      <w:pPr>
        <w:spacing w:after="0" w:line="2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Other expense, net for the six months ended June 30, 2024 increased $23.7 million, compared to the same period in 2023. The increase was primarily due to a higher interest expenses of $26.7 million due to higher interest rates and increased borrowing to support business growth, and a higher credit-related impairment loss of $2.1 million on certain investments, driven by changes in the fair value of investments in loans and securities as a result of fluctuations in key inputs to the discounted cash flow models used to determine fair value. We are not exposed economically to a significant portion of these fair value changes as certain investments are held within consolidated VIEs. For further information, please see “—Net Income (Loss) Attributable to Noncontrolling Interests.” These increases were partially offset by a $4.0 million favorable impact from the changes in fair value remeasurement of warrants.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right="2719"/>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4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shd w:val="clear" w:color="auto" w:fill="CCEEFF"/>
          </w:tcPr>
          <w:p>
            <w:pPr>
              <w:jc w:val="center"/>
              <w:ind w:right="2719"/>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19,515</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11,673</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7,842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r>
    </w:tbl>
    <w:p>
      <w:pPr>
        <w:spacing w:after="0" w:line="27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Income tax expense for the six months ended June 30, 2024 increased $7.8 million, compared to the same period in 2023. The increase was primarily driven by geographical mix of taxable net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(38,494)</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20,161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r>
    </w:tbl>
    <w:p>
      <w:pPr>
        <w:spacing w:after="0" w:line="2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Net loss attributable to noncontrolling interests for the six months ended June 30, 2024 decreased by $20.2 million, or 52%, compared to the same period in 2023. The decrease was driven by the net loss generated by our consolidated VIEs associated with our risk retention holdings. This amount represented the net income (loss) of the consolidated VIEs to which we had no economic right and was the result of interest income of $3.2 million generated from risk retention holdings offset by the credit-related impairment loss of $21.4 million on the same risk retention holdings. For further information, see “—Total Revenue and Other Income” and “—Other Expense, Net.”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To supplement our consolidated financial statements prepared and presented in accordance with U.S. GAAP, we use the non-GAAP financial measures FRLPC, Adjusted Net Income (Loss) and Adjusted EBITDA to provide investors with additional information about our financial performance and to enhance the overall understanding of the results of operations by highlighting the results from ongoing operations and the underlying profitability of our business. We are presenting these non-GAAP financial measures because we believe they provide an additional tool for investors to use in comparing our core financial performance over multiple periods with the performance of other companies.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U.S. GAAP.</w:t>
      </w:r>
    </w:p>
    <w:p>
      <w:pPr>
        <w:spacing w:after="0" w:line="1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To address these limitations, we provide a reconciliation of FRLPC, Adjusted Net Income (Loss) and Adjusted EBITDA to the most directly comparable U.S. GAAP measure. We encourage investors and others to review our financial information in its entirety, not to rely on any single financial measure and to view FRLPC, Adjusted Net Income (Loss) and Adjusted EBITDA in conjunction with their respective related U.S. GAAP financial measures.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FRLPC, Adjusted Net Income (Loss) and Adjusted EBITDA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FRLPC, Adjusted Net Income (Loss) and Adjusted EBITDA for the three and six months ended June 30, 2024 and 2023 are summarized below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r>
      <w:tr>
        <w:trPr>
          <w:trHeight w:val="211"/>
        </w:trPr>
        <w:tc>
          <w:tcPr>
            <w:tcW w:w="42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1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Revenue Less Production Cost (FRLPC)</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96,992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65,072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189,115</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115,269</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(Loss)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7,188</w:t>
            </w:r>
          </w:p>
        </w:tc>
        <w:tc>
          <w:tcPr>
            <w:tcW w:w="8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20,519</w:t>
            </w:r>
          </w:p>
        </w:tc>
        <w:tc>
          <w:tcPr>
            <w:tcW w:w="8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(10,129)</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90,120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19,542</w:t>
            </w:r>
          </w:p>
        </w:tc>
      </w:tr>
    </w:tbl>
    <w:p>
      <w:pPr>
        <w:spacing w:after="0" w:line="200" w:lineRule="exact"/>
        <w:rPr>
          <w:sz w:val="20"/>
          <w:szCs w:val="20"/>
          <w:color w:val="auto"/>
        </w:rPr>
      </w:pP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FRLPC is defined as revenue from fees less production costs. We use FRLPC as part of overall assessment of performance, including the preparation of our annual budget and quarterly forecasts, to evaluate the effectiveness of our business strategies, and to communicate with our Board of Directors concerning our financial performance. Adjusted Net Income (Loss) is defined as net income (loss) attributable to our shareholders excluding share-based compensation expense, change in fair value of warrant liability, impairment, including credit-related charges, restructuring expenses, transaction-related expenses, and non-recurring expenses associated with mergers and acquisitions. Adjusted EBITDA is defined as net income (loss) attributable to our shareholders excluding share-based compensation expense, change in fair value of warrant liability, impairment, including credit-related charges, restructuring expenses, transaction-related expenses, non-recurring expenses associated with mergers and acquisitions, interest expense, depreciation expense, and provision (and benefit from) for income taxes.</w:t>
      </w:r>
    </w:p>
    <w:p>
      <w:pPr>
        <w:spacing w:after="0" w:line="1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These items are excluded from our Adjusted Net Income (Loss) and Adjusted EBITDA measures because they are noncash in nature, or because the amount and timing of these items is unpredictable, is not driven by core results of operations and renders comparisons with prior periods and competitors less meaningful.</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believe FRLPC, Adjusted Net Income (Loss) and Adjusted EBITDA provide useful information to investors and others in understanding and evaluating our results of operations, as well as providing a useful measure for period-to-period comparisons of our business performance. Moreover, we have included FRLPC, Adjusted Net Income (Loss) and Adjusted EBITDA in this report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U.S. GAAP and may be different from similarly titled non-GAAP financial measures used by other companies.</w:t>
      </w:r>
    </w:p>
    <w:p>
      <w:pPr>
        <w:spacing w:after="0" w:line="20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tables present a reconciliation of the most directly comparable U.S. GAAP measure to FRLPC, Adjusted Net Income (Loss) and Adjusted EBITDA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24"/>
                <w:szCs w:val="24"/>
                <w:color w:val="auto"/>
              </w:rPr>
            </w:pPr>
          </w:p>
        </w:tc>
        <w:tc>
          <w:tcPr>
            <w:tcW w:w="266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1160" w:type="dxa"/>
            <w:vAlign w:val="bottom"/>
            <w:tcBorders>
              <w:bottom w:val="single" w:sz="8" w:color="CCEEFF"/>
            </w:tcBorders>
          </w:tcPr>
          <w:p>
            <w:pPr>
              <w:spacing w:after="0"/>
              <w:rPr>
                <w:sz w:val="18"/>
                <w:szCs w:val="18"/>
                <w:color w:val="auto"/>
              </w:rPr>
            </w:pPr>
          </w:p>
        </w:tc>
        <w:tc>
          <w:tcPr>
            <w:tcW w:w="40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fees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360,939</w:t>
            </w:r>
          </w:p>
        </w:tc>
      </w:tr>
      <w:tr>
        <w:trPr>
          <w:trHeight w:val="213"/>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Production costs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120,613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290,483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245,670</w:t>
            </w:r>
          </w:p>
        </w:tc>
      </w:tr>
      <w:tr>
        <w:trPr>
          <w:trHeight w:val="237"/>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Fee Revenue Less Production Cost (FRLPC)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65,072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115,269</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8"/>
                <w:szCs w:val="18"/>
                <w:color w:val="auto"/>
              </w:rPr>
            </w:pPr>
          </w:p>
        </w:tc>
        <w:tc>
          <w:tcPr>
            <w:tcW w:w="266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Pagaya Technologies Ltd.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(92,268)</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36,575</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 to warrant liability</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 on certain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30,648</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Write-off of capitalized software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4,966</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Transaction-related expenses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Non-recurring expenses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(Loss)</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7,188</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20,519</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(10,129)</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10,014</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11,673</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7,984</w:t>
            </w: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June 30, 2024 and December 31, 2023, the principal sources of liquidity were cash, cash equivalents and restricted cash of $267.9 million and $222.5 million, respectively. We believe these sources will be sufficient to meet our current liquidity needs for the next twelve months, from the date of issuance of the unaudited condensed consolidated financial statements included elsewhere in this Form 10-Q, and be sufficient to support our future cash needs, however, we can provide no assurance that our liquidity and capital resources will meet future funding requirements.</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primary requirements for liquidity and capital resources are to purchase and finance risk retention requirements, invest in technology, data and product development and to attract, recruit and retain a strong employee base, as well as to fund potential strategic transactions, including acquisitions, if any. We intend to continue to make strategic investments to support our business plans.</w:t>
      </w:r>
    </w:p>
    <w:p>
      <w:pPr>
        <w:spacing w:after="0" w:line="19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We do not have capital expenditure commitments as the vast majority of our capital expenditures relate to the capitalization of certain compensation and non-compensation expenditures used in the development and improvement of our proprietary technology.</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There are numerous risks to the Company’s financial results, liquidity and capital raising, some of which may not be quantified in the Company’s current estimates. The principal factors that could impact liquidity and capital needs are a prolonged inability to adequately access funding in the capital markets or in bilateral agreements, including as a result of macroeconomic conditions such as rising interest rates and higher cost of capital, the timing and extent of spending to support development efforts, the expansion of sales and marketing activities, the introduction of new and enhanced products and the continuing market adoption of the Company’s network.</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expect to fund our operations with existing cash and cash equivalents, cash generated from operations, including cash flows from investments in loans and securities, and additional secured borrowings, including repurchase agreements. We may also raise additional capital, including through borrowings under the new credit facility that we entered into in February 2024 (see further description of the new credit facility below in the section titled “</w:t>
      </w:r>
      <w:r>
        <w:rPr>
          <w:rFonts w:ascii="Times New Roman" w:cs="Times New Roman" w:eastAsia="Times New Roman" w:hAnsi="Times New Roman"/>
          <w:sz w:val="16"/>
          <w:szCs w:val="16"/>
          <w:i w:val="1"/>
          <w:iCs w:val="1"/>
          <w:color w:val="auto"/>
        </w:rPr>
        <w:t>Credit Agreement</w:t>
      </w:r>
      <w:r>
        <w:rPr>
          <w:rFonts w:ascii="Times New Roman" w:cs="Times New Roman" w:eastAsia="Times New Roman" w:hAnsi="Times New Roman"/>
          <w:sz w:val="16"/>
          <w:szCs w:val="16"/>
          <w:color w:val="auto"/>
        </w:rPr>
        <w:t>”) or through the sale or issuance of equity or debt securities, as described below in the sections titled “</w:t>
      </w:r>
      <w:r>
        <w:rPr>
          <w:rFonts w:ascii="Times New Roman" w:cs="Times New Roman" w:eastAsia="Times New Roman" w:hAnsi="Times New Roman"/>
          <w:sz w:val="16"/>
          <w:szCs w:val="16"/>
          <w:i w:val="1"/>
          <w:iCs w:val="1"/>
          <w:color w:val="auto"/>
        </w:rPr>
        <w:t>The Committed Equity Financing,</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Shelf Registration Statement</w:t>
      </w:r>
      <w:r>
        <w:rPr>
          <w:rFonts w:ascii="Times New Roman" w:cs="Times New Roman" w:eastAsia="Times New Roman" w:hAnsi="Times New Roman"/>
          <w:sz w:val="16"/>
          <w:szCs w:val="16"/>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Ordinary Share Offering</w:t>
      </w:r>
      <w:r>
        <w:rPr>
          <w:rFonts w:ascii="Times New Roman" w:cs="Times New Roman" w:eastAsia="Times New Roman" w:hAnsi="Times New Roman"/>
          <w:sz w:val="16"/>
          <w:szCs w:val="16"/>
          <w:color w:val="auto"/>
        </w:rPr>
        <w:t>,” as well as the issuance of up to an additional 1,666,666 Series A Preferred Shares. The ownership interest of our shareholders will be, or could be, diluted as a result of sales or issuances of equity or debt securities, and the terms of any such securities may include liquidation or other preferences that adversely affect the rights of our shareholders of Class A Ordinary Shares. We intend to support our liquidity and capital position by pursuing diversified sources of financing, including debt financing, secured borrowings, or equity financing. The rates, terms, covenants and availability of such additional financing is not guaranteed and will be dependent on not only macro-economic factors, but also on Pagaya-specific factors such as the results of our operations and the returns generated by loans originated with the assistance of our AI Technology.</w:t>
      </w:r>
    </w:p>
    <w:p>
      <w:pPr>
        <w:spacing w:after="0" w:line="2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Additional debt financing, such as secured or unsecured borrowings, including repurchase agreements, credit facilities or corporate bonds, and equity financing, if available, may involve agreements that include covenants limiting or restricting our ability to take specific actions, such as incurring additional debt, making capital expenditures or declaring dividends. Our future capital requirements and the adequacy of available funds will depend on many factors, including those set forth in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in our Annual Report on Form 10-K, which was filed with the SEC on April 25, 2024.</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we will receive the proceeds from any exercise of any public warrants and private placement warrants in cash. Each public warrant and each private placement warrant that was issued and exchanged for each EJFA Private Placement Warrant in the EJFA Merger entitles the holder thereof to purchase one Class A Ordinary Share at a price of $138 per share. The aggregate amount of proceeds could be up to $169.6 million if all such warrants are exercised for cash. We expect to use any such proceeds for general corporate and working capital purposes, which would increase our liquidity.</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As of August 8, 2024, the price of our Class A Ordinary Shares was $15.10 per share. We believe the likelihood that warrant holders will exercise their public warrants and private placement warrants that were issued and exchanged for EJFA Private Placement Warrants in the EJFA Merger, and therefore the amount of cash proceeds that we would receive, is dependent upon the market price of Class A Ordinary Shares. If the market price for our Class A Ordinary Shares is less than $138 per share, we believe warrant holders will be unlikely to exercise on a cash basis their public warrants and private placement warrants that were issued and exchanged for EJFA Private Placement Warrants in the EJFA Merger. To the extent the public warrants and private placement warrants are exercised by warrant holders, ownership interest of our shareholders will be diluted as a result of such issuances. Moreover, the resale of Class A Ordinary Shares issuable upon the exercise of such warrants, or the perception of such sales, may</w:t>
      </w: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cause the market price of our Class A Ordinary Shares to decline and impact our ability to raise additional financing on favorable terms. See </w:t>
      </w:r>
      <w:r>
        <w:rPr>
          <w:rFonts w:ascii="Times New Roman" w:cs="Times New Roman" w:eastAsia="Times New Roman" w:hAnsi="Times New Roman"/>
          <w:sz w:val="16"/>
          <w:szCs w:val="16"/>
          <w:i w:val="1"/>
          <w:iCs w:val="1"/>
          <w:color w:val="auto"/>
        </w:rPr>
        <w:t>“Risk Factors—We have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may need to continue to raise additional funds in the future, including but not limited to, through equity, debt, secured borrowings, or convertible debt financings, to support business growth, and those funds may be unavailable on acceptable terms, or at all. As a result, we may be unable to meet our future capital requirements, which could limit our ability to grow and jeopardize our ability to continue our business” and “Risk Factors—Risks Related to Ownership of our Class A Ordinary Shares and Warrants” </w:t>
      </w:r>
      <w:r>
        <w:rPr>
          <w:rFonts w:ascii="Times New Roman" w:cs="Times New Roman" w:eastAsia="Times New Roman" w:hAnsi="Times New Roman"/>
          <w:sz w:val="16"/>
          <w:szCs w:val="16"/>
          <w:color w:val="auto"/>
        </w:rPr>
        <w:t>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Annual Report on Form 10-K, which was filed with the SEC on April 25, 2024.</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may, in the future, enter into arrangements to acquire or invest in complementary businesses, products, and technologies. We may be required to seek additional equity or debt financing related to such acquisitions or investments. In the event that we pursue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as security. If we are unable to raise additional capital or generate cash flows necessary to expand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the significant judgments or estimates could prove to be materially incorrect.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Committed Equity Financing</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August 17, 2022, we entered into the Equity Financing Purchase Agreement and the Equity Financing Registration Rights Agreement with B. Riley Principal Capital II. Pursuant to the Equity Financing Purchase Agreement, we have the right to sell to B. Riley Principal Capital II, up to $300 million of our Class A Ordinary Shares, subject to certain limitations and conditions set forth in the Equity Financing Purchase Agreement, from time to time during the 24-month term of the Equity Financing Purchase Agreement. Sales of our Class A Ordinary Shares pursuant to the Equity Financing Purchase Agreement, and the timing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sales, are solely at our option, and we are under no obligation to sell any securities to B. Riley Principal Capital II under the Equity Financing Purchase Agreement.</w:t>
      </w:r>
    </w:p>
    <w:p>
      <w:pPr>
        <w:spacing w:after="0" w:line="24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During the three months ended June 30, 2024, the Company did not issue any shares under the Equity Financing Purchase Agreement. During the six months ended June 30, 2024, 298,057 shares were issued under the Equity Financing Purchase Agreement for net proceeds of $5.2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Shelf Registration Statement</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October 4, 2023, we filed a shelf registration statement on Form F-3 (the “Shelf Registration”) with the SEC that was declared effective on October 16, 2023. Under this Shelf Registration, we may, from time to time, offer and sell in one or more offerings Class A Ordinary Shares, various series of debt securities and/or warrants to purchase any of such securities, either individually or in combination with any of these securities, up to $500 million.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Ordinary Share Offering</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March 13, 2024, the Company priced an offering of 7,500,000 of its Class A Ordinary Shares, no par value, pursuant to an underwriting agreement (the “Underwriting Agreement”) with Citigroup Global Markets Inc. and Jefferies LLC as representatives of the several underwriters. The proceeds from the offer and sale of the securities are approximately $90.0 million, after deducting the underwriting discount and fees and offering expenses payable by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summarized consolidated cash flow information for the periods presented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660" w:type="dxa"/>
            <w:vAlign w:val="bottom"/>
            <w:tcBorders>
              <w:bottom w:val="single" w:sz="8" w:color="auto"/>
            </w:tcBorders>
          </w:tcPr>
          <w:p>
            <w:pPr>
              <w:spacing w:after="0"/>
              <w:rPr>
                <w:sz w:val="18"/>
                <w:szCs w:val="18"/>
                <w:color w:val="auto"/>
              </w:rPr>
            </w:pPr>
          </w:p>
        </w:tc>
      </w:tr>
      <w:tr>
        <w:trPr>
          <w:trHeight w:val="211"/>
        </w:trPr>
        <w:tc>
          <w:tcPr>
            <w:tcW w:w="78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(25,513)</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(351,287)</w:t>
            </w:r>
          </w:p>
        </w:tc>
        <w:tc>
          <w:tcPr>
            <w:tcW w:w="8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(190,867)</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362,434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213,359</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primary uses of cash in operating activities are for ordinary course of business, with the primary use related to employee and personnel-related expenses. As of June 30, 2024, we had 591 employees, including 149 full-time Darwin employees, compared to 712 on December 31, 2023. During the second quarter of 2024, we reduced our headcount by over 20% across our Israel and U.S. offices. This reduction in workforce enabled us to streamline our operations resulting in cost savings.</w:t>
      </w:r>
    </w:p>
    <w:p>
      <w:pPr>
        <w:spacing w:after="0" w:line="10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Net cash provided by operating activities for the six months ended June 30, 2024 was $36.0 million, an increase of $61.5 million from net cash used in operating activities of $25.5 million for the same period in 2023. This reflects our net loss including noncontrolling interests of $114.3 million, adjusted for non-cash charges of $129.1 million, and net cash inflows of $21.2 million from changes in our operating assets net of operating liabilities.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Non-cash charges primarily consisted of (1) impairment losses on investments in loans and securities, which increased by $1.6 million driven by changes in the fair value of investments in loans and securities as a result of fluctuations in key inputs to the discounted cash flow models used to determine fair value (we are not exposed economically to a portion of these fair value changes as certain investments are held within consolidated VIEs), (2) share-based compensation, which decreased by $3.1 million, (3) depreciation and amortization, which increased by $5.4 million primarily from capitalized software, and (4)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adjustment to warrant liability, which decreased by $4.0 million driven by changes in the market price of our Class A Ordinary Shares.</w:t>
      </w:r>
    </w:p>
    <w:p>
      <w:pPr>
        <w:spacing w:after="0" w:line="24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Our net cash flows resulting from changes in operating assets and liabilities increased by $42.1 million to net cash inflows of $21.2 million for the six months ended June 30, 2024 compared to net cash outflows of $20.9 million for the same period in 2023, reflecting cost saving initiatives.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Our primary uses of cash in investing activities are the purchase of risk retention assets of sponsored securitization vehicles and investments in equity method and other investments.</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the six months ended June 30, 2024, net cash used in investing activities of $351.3 million was primarily attributable to purchases of risk retention assets of $408.5 million, which increased by $135.1 million driven by business growth, partially offset by proceeds received from existing risk retention assets of $66.8 million, which decreased by $24.5 million.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the six months ended June 30, 2024, net cash provided by financing activities of $362.4 million was primarily attributable to $230.4 million of net proceeds from issuance of long-term debt, net of repayments, $90.0 million of net proceeds from the ordinary share offering, $128.5 million from secured borrowings executed to finance certain risk retention assets, net of repayments, and $5.3 million of proceeds from the issuance of our Class A Ordinary Shares under the Equity Financing Purchase Agreement. These net cash inflows were partially offset by $90.0 million of repayments of the SVB revolving credit facility.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Indebtedness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Agreement</w:t>
      </w:r>
    </w:p>
    <w:p>
      <w:pPr>
        <w:spacing w:after="0" w:line="252"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On February 2, 2024, the Company entered into a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w:t>
      </w:r>
    </w:p>
    <w:p>
      <w:pPr>
        <w:spacing w:after="0" w:line="19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Facilities replace the SVB Revolving Credit Facility. In addition to replacing the SVB Revolving Credit Facility, proceeds of borrowings under the Facilities may be used for general corporate purposes of the Company and its subsidiaries. As of the date of this filing, no borrowings have been made under the Revolving Credit Facility.</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may voluntarily prepay borrowings under the Facilities at any time and from time to time subject to, in regards to voluntary prepayments and certain mandatory prepayments of the Term Loan Facility, a 3.00% fee if paid prior to the first anniversary of the Term Loan Facility, 2.00% if paid after the first anniversary but prior to the second anniversary, 1.00% if after the second anniversary but prior to the third anniversary, and 0.50% if after the third anniversary but prior to the fourth anniversary. In each case, prepayments of the Facilities may be subject to the payment of “breakage” costs.</w:t>
      </w:r>
    </w:p>
    <w:p>
      <w:pPr>
        <w:spacing w:after="0" w:line="20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Facilities contain certain customary mandatory prepayment events, including requirements to prepay the Term Loan Facility with excess cash flow and with the net cash proceeds from certain asset dispositions and casualty events, subject to customary reinvestment rights and other exceptions.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No amortization payments are required to be made in respect of borrowings under the Revolving Credit Facility. Amortization payments are required to be made in respect of the term loans under the Term Loan Facility in amount of 1.25% per quarter of the original principal amount of the term loans under the Term Loan Facility.</w:t>
      </w:r>
    </w:p>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Borrowings under the Facilities bear interest at a rate per annum equal to, at the Company’s option, (i) a base rate (determined based on the prime rate and subject to a 2.00% floor) plus a margin of 6.50% or (ii) an adjusted term Secured Overnight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Financing Rate (subject to a 1.00% floor) plus a margin of 7.50%. A commitment fee accrues on any unused portion of the commitments under the Revolving Credit Facility at a rate per annum of 0.25% and is payable quarterly in arrears.</w:t>
      </w:r>
    </w:p>
    <w:p>
      <w:pPr>
        <w:spacing w:after="0" w:line="2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Company’s obligations under the Credit Agreement are guaranteed by certain of the Company’s material, wholly-owned subsidiaries (collectively, the “Guarantors”) and are secured by a first priority lien on substantially all assets of the Company and the Guarantors, subject to certain customary exceptions.</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Credit Agreement contains customary negative covenants, which include, among other things, limitations on the ability of the Company and its consolidated subsidiaries to incur indebtedness, grant liens, engage in certain fundamental changes, make certain dispositions and investments, enter into sale and leaseback transactions, and make restricted payments and other distributions. The Credit Agreement contains certain financial covenants customary for a credit facility of this type, which include, among other things, a maximum first lien leverage ratio, a minimum fixed charge coverage ratio and a minimum tangible book value ratio. The Credit Agreement also contains affirmative covenants customary for a credit facility of its type, including customary reporting covenants.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Credit Agreement includes events of default related to, among other things, failure to pay amounts due under the Credit Agreement, breaches of representations, warranties or covenants, defaults under other material indebtedness, certain events of bankruptcy or insolvency, material judgment defaults and change of control, in each case, subject to customary cure periods where appropriate.</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June 30, 2024, the Company had an outstanding balance of $232.6 million, which is recorded within long-term debt on the unaudited condensed consolidated balance sheet, and the Company had letters of credit issued in the amount of $19.8 million, and $15.2 million of remaining capacity available under the Revolving Credit Facility. The Company is in compliance with all covenants.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Commitments and Contingencies</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During the normal course of business, we enter into certain lease contracts with lease terms through 2032. As of June 30, 2024, the total remaining contractual obligations are approximately $56.2 million, of which $4.7 million is for the next 12 months. In 2023, we entered into a purchase commitment with our third-party cloud computing web services provider, which included an annual purchase commitment of $4.6 million for the period from October 2023 through September 2025. As of June 30, 2024, the total remaining contractual obligations are approximately $6.1 million, of which $4.9 million is for the next 12 months. We may pay more than the minimum purchase commitment based on usage.</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 As of June 30, 2024, there have been 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June 30, 2024, the maximum potential amount of undiscounted future payments the Company could be required to make under these guarantees totaled $29.2 million. In accordance with the guarantee contracts, the maximum potential payment amount has been segregated and recognized within restricted cash in the unaudited condensed consolidated balance sheet.</w:t>
      </w:r>
    </w:p>
    <w:p>
      <w:pPr>
        <w:spacing w:after="0" w:line="19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For a discussion of our long-term debt obligations and operating lease obligations as of June 30, 2024, see Note 4 and Note 7, respectively, to our unaudited condensed consolidated financial statements included elsewhere in this Quarterly Report.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the ordinary course of business, we engage in activities with unconsolidated VIEs, including our sponsored securitization vehicles, which we contractually administer. To comply with risk retention regulatory requirements, we retain at least 5% of the credit risk of the securities issued by sponsored securitization vehicles. From time to time, we may, but are not obligated to, purchase assets from the Financing Vehicles. Such purchases could expose us to loss. For additional information, refer to Note 8 to the unaudited condensed consolidated financial statements elsewhere included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significant accounting policies and their effect on our financial condition and results of operations are more fully described in our audited consolidated financial statements included in our Annual Report on Form 10-K. Management has reassessed the critical accounting policies and estimates as disclosed in Note 2 to the audited consolidated financial statements included in our Annual Report on Form 10-K and determined that there were no significant changes in our critical accounting policies and estimates during the three and six months ended June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25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are exposed to market risks in the ordinary course of our business. Market risk represents the risk of loss that may impact our financial position due to adverse changes in market prices. Our market risk exposure primarily relates to fluctuations in credit risk. We are exposed to market risk directly through investments in loans and securities held on our consolidated balance sheets and access to the securitization markets.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Credit risk refers to the risk of loss arising from individual borrower default due to inability or unwillingness to meet their financial obligations. The performance of certain financial instruments, including investments in loans, securitization notes and residual certificates on our consolidated balance sheets, is dependent on the credit performance. To manage this risk, we monitor borrower payment performance and utilize our proprietary, AI-powered technology to evaluate individual loans in a manner that we believe is reflective of the credit risk.</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fair values of these loans, securitization notes, and residual certificates are estimated based on a discounted cash flow model which involves the use of significant unobservable inputs and assumptions, the most significant of which is expected credit losses. Accordingly, these instruments are sensitive to changes in credit risk. As of June 30, 2024 and December 31, 2023, we were exposed to credit risk on $911 million and $717 million, respectively, of investments in loans and securities held on our consolidated balance sheet, with $831 million and $618 million, respectively, representing net exposure exclusive of non-controlling interests. We implemented portfolio risk monitoring that includes internal monitoring as well as competitor / market assessments, macro-economic trends, and associated stress testing. Loans and related risk retention securities are monitored throughout the entire lifecycle. This risk monitoring framework is intended to deliver timely and actionable feedback credit risk exposures.</w:t>
      </w:r>
    </w:p>
    <w:p>
      <w:pPr>
        <w:spacing w:after="0" w:line="2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are also exposed to credit risk in the event of non-performance by the financial institutions holding our cash or providing access to our credit line. We maintain our cash deposits in highly-rated financial institutions. In the United States, the majority of our cash deposits are held at federally insured accounts. We manage this risk by maintaining our cash deposits at well-established, well-capitalized financial institutions and diversifying our counterparties.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interest rates charged on the loans originated by Partners are subject to change by the platform sellers, originators, and/or servicers. Higher interest rates could negatively impact collections on the underlying loans, leading to increased delinquencies, defaults, and our borrower bankruptcies, all of which could have a substantial adverse effect on our business. This would also impact future loans and securitizations.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Additionally, we maintain certain financing sources with varying degrees of interest rate sensitivities, including floating-rate interest payments on Pagaya’s credit facilities. Accordingly, trends in the prevailing interest rate environment can influence interest expense/payments and harm the results of our operations. See Item 5.B. Liquidity and Capital Resources for additional information.</w:t>
      </w: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also rely on securitization transactions, with notes of those transactions typically bearing a fixed coupon. For future securitization issuances, higher interest rates could effect overall deal economics as well as the returns we would generate on our related risk retention investments.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Exchange Risk</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Foreign currency exchange rates do not pose a material market risk exposure. However, given the compensation and non-compensation expenses denominated in Israeli Shekel, our inability or failure to manage foreign exchange risk could harm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maintain disclosure controls and procedures (as that term is defined in Rules 13a-15(e) and 15d-15(e) under the Securities Exchange Act of 1934, as amended)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June 30, 2024. Based upon that evaluation, our Chief Executive Officer and Chief Financial Officer concluded that, as of June 30, 2024, our disclosure controls and procedures were effective to accomplish their objectives at the reasonable assurance level.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such term is defined in Rules 13a-15(f) and 15d-15(f) under the Securities Exchange Act) that occurred during the quarter ended June 30, 2024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Inherent Limitations on Effectiveness of Internal Control</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refer to Note 8. “Commitments and Contingencies” of the accompanying notes to our unaudited condensed consolidated financial statements.</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risks described under the heading “Risk Factors” in our Annual Report on Form 10-K for the year ended December 31, 2023 could materially and adversely affect our business, financial condition, results of operations, cash flows, future prospects, and the trading price of our Class A Ordinary Share. The risks and uncertainties described therein are not the only ones we face. Additional risks and uncertainties that we are unaware of or that we currently deem immaterial may also become important factors that adversely affect our business.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You should carefully read and consider such risks, together with all of the other information in our Annual Report on Form 10-K for the year ended December 31, 2023, in this Quarterly Report on Form 10-Q (including the disclosures in the section titled “Management’s Discussion and Analysis of Financial Condition and Results of Operations” and in our unaudited condensed consolidated financial statements and related notes), and in the other documents that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There have been no material changes from the risk factors previously disclosed under the heading “Risk Factors” in our Annual Report on Form 10-K for the year ended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and Officer Trading Plans or other Arrangements</w:t>
      </w:r>
    </w:p>
    <w:p>
      <w:pPr>
        <w:spacing w:after="0" w:line="2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Our directors and officers (as defined in Exchange Act Rule 16a-1(f))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June 30, 2024, four officers or directors entered into 10b5-1 trading arrangements. First, on July 2, 2024, after terminating a legacy 10b5-1 plan on May 10, 2024, Tami Rosen, a director and the Company’s Chief Development Officer, entered into a new 10b5-1 Plan, with an end date of April 7, 2025, to sell a maximum aggregate of 62,465 shares. Second, on July 2, 2024, Avital Pardo, a director and Chief Technology Officer of the Company, entered into a 10b5-1 Plan, with an end date of October 1, 2025, to sell a maximum aggregate of 300,000 shares. Third, on July 2, 2024, Yahav Yulzari, a director and Chief Revenue Officer of the Company, entered into a 10b5-1 Plan, with an end date of October 1, 2025, to sell a maximum aggregate of 300,000 shares. Fourth, on June 24, 2024, Evangelos Perros, the Company’s Chief Financial Officer, entered into a 10b5-1 Plan, with an end date of December 31, 2024, to sell a maximum aggregate of 23,791</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shares. Note that the maximum number of shares for these plans include shares that the directors will sell, at the time of vesting, to cover their tax liability.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Departure of Directors or Certain Officers; Election of Directors; Appointment of Certain Officers; Compensatory Arrangements of Certain Officers</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Departure of Chief Operating Officer; Appointment of New Chief Operating Officer and Chief Commercial Officer</w:t>
      </w:r>
    </w:p>
    <w:p>
      <w:pPr>
        <w:spacing w:after="0" w:line="25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Effective August 8, 2024, Mr. Amol Naik resigned from his role as Chief Operating Officer of the Company. In connection with his departure, the Company entered into a Release and Settlement Agreement, filed herewith as Exhibit 10.1.</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announced by the Company on August 5, 2024, Mr. Ralph Leung, age 47, has joined the Company as Chief Operating Officer and Chief Commercial Officer. From 2021 until joining the Company, Mr. Leung served as Chief Financial Officer of Achieve, a consumer fintech. Prior to that, he served as Chief Financial Officer of Fivestars, a two-sided consumer merchant network. In connection with his appointment, Mr. Leung entered into an Employment Agreement with the Company pursuant to which he is entitled to an annual salary of $650,000, an annual target bonus of $600,000 and an equity grant, subject to the approval of the Board of Directors. In addition, Mr. Leung will be entitled to a performance-based bonus and will participate in other compensation and benefit programs commensurate with other Company executives at his level.</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Mr. Leung’s appointment is not pursuant to any arrangement or understanding with respect to any other person. There are no family relationships between Mr. Leung and any director, executive officer or other person requiring disclosure under Item 401(d) of Regulation S-K. There are no transactions in which Mr. Leung has an interest requiring disclosure under Item 404(a) of Regulation S-K. The Company does not deem Mr. Leung to be an “executive officer,” as such term is defined in Rule 3b-7, promulgated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1714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28"/>
          <w:szCs w:val="28"/>
          <w:color w:val="auto"/>
          <w:vertAlign w:val="superscript"/>
        </w:rPr>
      </w:pPr>
      <w:r>
        <w:rPr>
          <w:rFonts w:ascii="Times New Roman" w:cs="Times New Roman" w:eastAsia="Times New Roman" w:hAnsi="Times New Roman"/>
          <w:sz w:val="14"/>
          <w:szCs w:val="14"/>
          <w:color w:val="auto"/>
        </w:rPr>
        <w:t>Does not include shares that may be acquired through vesting of stock grants, exercise of options or open market purchases.</w:t>
      </w: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303" w:lineRule="exact"/>
        <w:rPr>
          <w:rFonts w:ascii="Arial" w:cs="Arial" w:eastAsia="Arial" w:hAnsi="Arial"/>
          <w:sz w:val="28"/>
          <w:szCs w:val="28"/>
          <w:color w:val="auto"/>
          <w:vertAlign w:val="superscript"/>
        </w:rPr>
      </w:pPr>
    </w:p>
    <w:p>
      <w:pPr>
        <w:ind w:left="5540"/>
        <w:spacing w:after="0"/>
        <w:rPr>
          <w:rFonts w:ascii="Arial" w:cs="Arial" w:eastAsia="Arial" w:hAnsi="Arial"/>
          <w:sz w:val="28"/>
          <w:szCs w:val="28"/>
          <w:color w:val="auto"/>
          <w:vertAlign w:val="superscript"/>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4"/>
        </w:trPr>
        <w:tc>
          <w:tcPr>
            <w:tcW w:w="1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2"/>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Item 6. Exhibits</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80" w:type="dxa"/>
            <w:vAlign w:val="bottom"/>
            <w:gridSpan w:val="8"/>
            <w:vMerge w:val="restart"/>
          </w:tcPr>
          <w:p>
            <w:pPr>
              <w:ind w:left="33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18"/>
        </w:trPr>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6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160" w:type="dxa"/>
            <w:vAlign w:val="bottom"/>
            <w:tcBorders>
              <w:top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900" w:type="dxa"/>
            <w:vAlign w:val="bottom"/>
            <w:tcBorders>
              <w:top w:val="single" w:sz="8" w:color="auto"/>
            </w:tcBorders>
            <w:gridSpan w:val="9"/>
            <w:shd w:val="clear" w:color="auto" w:fill="CCEEFF"/>
          </w:tcPr>
          <w:p>
            <w:pPr>
              <w:spacing w:after="0" w:line="175"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Articles of Association of Pagaya Technologies Ltd., as amended and restated on February 15, 2024 (incorporated by reference to Exhibit 99.1 of</w:t>
              </w:r>
            </w:hyperlink>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320" w:type="dxa"/>
            <w:vAlign w:val="bottom"/>
            <w:tcBorders>
              <w:top w:val="single" w:sz="8" w:color="0000FF"/>
              <w:bottom w:val="single" w:sz="8" w:color="0000FF"/>
            </w:tcBorders>
            <w:gridSpan w:val="2"/>
            <w:shd w:val="clear" w:color="auto" w:fill="CCEEFF"/>
          </w:tcPr>
          <w:p>
            <w:pPr>
              <w:spacing w:after="0" w:line="169"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Pagaya Technologies Ltd. Current Report on Form 6-K filed with the SEC on February 15, 2024)</w:t>
              </w:r>
            </w:hyperlink>
          </w:p>
        </w:tc>
        <w:tc>
          <w:tcPr>
            <w:tcW w:w="3120" w:type="dxa"/>
            <w:vAlign w:val="bottom"/>
            <w:tcBorders>
              <w:top w:val="single" w:sz="8" w:color="0000FF"/>
              <w:bottom w:val="single" w:sz="8" w:color="CCEEFF"/>
            </w:tcBorders>
            <w:gridSpan w:val="4"/>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color w:val="0000FF"/>
              </w:rPr>
              <w:t>General Release and Settlement Agreement between Amol Naik and Pagaya Technologies US LLC</w:t>
            </w: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5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00" w:type="dxa"/>
            <w:vAlign w:val="bottom"/>
            <w:gridSpan w:val="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Certificate of Chief Executive Officer pursuant to Securities Exchange Act Rules 13a-14(a) and 15d-14(a) as adopted pursuant to §302 of the Sarbanes-</w:t>
            </w: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0000FF"/>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Oxley Act of 2002</w:t>
            </w:r>
          </w:p>
        </w:tc>
        <w:tc>
          <w:tcPr>
            <w:tcW w:w="8620" w:type="dxa"/>
            <w:vAlign w:val="bottom"/>
            <w:tcBorders>
              <w:top w:val="single" w:sz="8" w:color="0000FF"/>
              <w:bottom w:val="single" w:sz="8" w:color="CCEEFF"/>
            </w:tcBorders>
            <w:gridSpan w:val="7"/>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31.2*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color w:val="0000FF"/>
              </w:rPr>
              <w:t>Certificate of Chief Financial Officer pursuant to Securities Exchange Act Rules 13a-14(a) and 15d-14(a) as adopted pursuant to §302 of the Sarbanes-</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6"/>
                <w:szCs w:val="16"/>
                <w:color w:val="0000FF"/>
              </w:rPr>
              <w:t>Oxley Act of 2002</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560" w:type="dxa"/>
            <w:vAlign w:val="bottom"/>
            <w:tcBorders>
              <w:bottom w:val="single" w:sz="8" w:color="0000FF"/>
            </w:tcBorders>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Certificate of Chief Executive Officer pursuant to 18 U.S.C. §1350, as adopted pursuant to §906 of the Sarbanes-Oxley Act of 2002</w:t>
            </w:r>
          </w:p>
        </w:tc>
        <w:tc>
          <w:tcPr>
            <w:tcW w:w="1340" w:type="dxa"/>
            <w:vAlign w:val="bottom"/>
            <w:tcBorders>
              <w:bottom w:val="single" w:sz="8" w:color="CCEEFF"/>
            </w:tcBorders>
            <w:gridSpan w:val="4"/>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color w:val="0000FF"/>
              </w:rPr>
              <w:t>Certificate of Chief Financial Officer pursuant to 18 U.S.C. §1350, as adopted pursuant to §906 of the Sarbanes-Oxley Act of 2002</w:t>
            </w: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5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9"/>
                <w:szCs w:val="19"/>
                <w:color w:val="auto"/>
              </w:rPr>
            </w:pPr>
          </w:p>
        </w:tc>
        <w:tc>
          <w:tcPr>
            <w:tcW w:w="99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0" w:type="dxa"/>
            <w:vAlign w:val="bottom"/>
          </w:tcPr>
          <w:p>
            <w:pPr>
              <w:spacing w:after="0"/>
              <w:rPr>
                <w:sz w:val="1"/>
                <w:szCs w:val="1"/>
                <w:color w:val="auto"/>
              </w:rPr>
            </w:pPr>
          </w:p>
        </w:tc>
      </w:tr>
      <w:tr>
        <w:trPr>
          <w:trHeight w:val="220"/>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19"/>
                <w:szCs w:val="19"/>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39"/>
        </w:trPr>
        <w:tc>
          <w:tcPr>
            <w:tcW w:w="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shd w:val="clear" w:color="auto" w:fill="CCEEFF"/>
          </w:tcPr>
          <w:p>
            <w:pPr>
              <w:spacing w:after="0"/>
              <w:rPr>
                <w:sz w:val="20"/>
                <w:szCs w:val="20"/>
                <w:color w:val="auto"/>
              </w:rPr>
            </w:pPr>
          </w:p>
        </w:tc>
        <w:tc>
          <w:tcPr>
            <w:tcW w:w="99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20"/>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19"/>
                <w:szCs w:val="19"/>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39"/>
        </w:trPr>
        <w:tc>
          <w:tcPr>
            <w:tcW w:w="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shd w:val="clear" w:color="auto" w:fill="CCEEFF"/>
          </w:tcPr>
          <w:p>
            <w:pPr>
              <w:spacing w:after="0"/>
              <w:rPr>
                <w:sz w:val="20"/>
                <w:szCs w:val="20"/>
                <w:color w:val="auto"/>
              </w:rPr>
            </w:pPr>
          </w:p>
        </w:tc>
        <w:tc>
          <w:tcPr>
            <w:tcW w:w="99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10"/>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8"/>
                <w:szCs w:val="18"/>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260" w:hanging="1234"/>
        <w:spacing w:after="0"/>
        <w:tabs>
          <w:tab w:leader="none" w:pos="126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36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080885"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08088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47" w:right="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PAGAYA TECHNOLOGIES LTD.</w:t>
            </w:r>
          </w:p>
        </w:tc>
      </w:tr>
      <w:tr>
        <w:trPr>
          <w:trHeight w:val="365"/>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Date: August 9, 2024</w:t>
            </w:r>
          </w:p>
        </w:tc>
        <w:tc>
          <w:tcPr>
            <w:tcW w:w="292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Gal Krubiner</w:t>
            </w:r>
          </w:p>
        </w:tc>
      </w:tr>
      <w:tr>
        <w:trPr>
          <w:trHeight w:val="210"/>
        </w:trPr>
        <w:tc>
          <w:tcPr>
            <w:tcW w:w="3500" w:type="dxa"/>
            <w:vAlign w:val="bottom"/>
          </w:tcPr>
          <w:p>
            <w:pPr>
              <w:spacing w:after="0"/>
              <w:rPr>
                <w:sz w:val="18"/>
                <w:szCs w:val="18"/>
                <w:color w:val="auto"/>
              </w:rPr>
            </w:pPr>
          </w:p>
        </w:tc>
        <w:tc>
          <w:tcPr>
            <w:tcW w:w="292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Gal Krubiner</w:t>
            </w:r>
          </w:p>
        </w:tc>
      </w:tr>
      <w:tr>
        <w:trPr>
          <w:trHeight w:val="216"/>
        </w:trPr>
        <w:tc>
          <w:tcPr>
            <w:tcW w:w="3500" w:type="dxa"/>
            <w:vAlign w:val="bottom"/>
          </w:tcPr>
          <w:p>
            <w:pPr>
              <w:spacing w:after="0"/>
              <w:rPr>
                <w:sz w:val="18"/>
                <w:szCs w:val="18"/>
                <w:color w:val="auto"/>
              </w:rPr>
            </w:pPr>
          </w:p>
        </w:tc>
        <w:tc>
          <w:tcPr>
            <w:tcW w:w="292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729"/>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Date: August 9, 2024</w:t>
            </w:r>
          </w:p>
        </w:tc>
        <w:tc>
          <w:tcPr>
            <w:tcW w:w="292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Evangelos Perros</w:t>
            </w:r>
          </w:p>
        </w:tc>
      </w:tr>
      <w:tr>
        <w:trPr>
          <w:trHeight w:val="210"/>
        </w:trPr>
        <w:tc>
          <w:tcPr>
            <w:tcW w:w="3500" w:type="dxa"/>
            <w:vAlign w:val="bottom"/>
          </w:tcPr>
          <w:p>
            <w:pPr>
              <w:spacing w:after="0"/>
              <w:rPr>
                <w:sz w:val="18"/>
                <w:szCs w:val="18"/>
                <w:color w:val="auto"/>
              </w:rPr>
            </w:pPr>
          </w:p>
        </w:tc>
        <w:tc>
          <w:tcPr>
            <w:tcW w:w="292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Evangelos Perros</w:t>
            </w:r>
          </w:p>
        </w:tc>
      </w:tr>
      <w:tr>
        <w:trPr>
          <w:trHeight w:val="216"/>
        </w:trPr>
        <w:tc>
          <w:tcPr>
            <w:tcW w:w="3500" w:type="dxa"/>
            <w:vAlign w:val="bottom"/>
          </w:tcPr>
          <w:p>
            <w:pPr>
              <w:spacing w:after="0"/>
              <w:rPr>
                <w:sz w:val="18"/>
                <w:szCs w:val="18"/>
                <w:color w:val="auto"/>
              </w:rPr>
            </w:pPr>
          </w:p>
        </w:tc>
        <w:tc>
          <w:tcPr>
            <w:tcW w:w="292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1240"/>
          </w:cols>
          <w:pgMar w:left="320" w:top="855" w:right="339" w:bottom="1440" w:gutter="0" w:footer="0" w:header="0"/>
        </w:sectPr>
      </w:pPr>
    </w:p>
    <w:bookmarkStart w:id="53" w:name="page54"/>
    <w:bookmarkEnd w:id="53"/>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CONFIDENTIAL GENERAL RELEASE AND SEPARATION AGREEMENT</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This Confdental General Release and Separaton Agreement (this “</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is entered into by and between Amol Naik</w:t>
      </w:r>
    </w:p>
    <w:p>
      <w:pPr>
        <w:spacing w:after="0" w:line="23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Employee</w:t>
      </w:r>
      <w:r>
        <w:rPr>
          <w:rFonts w:ascii="Calibri" w:cs="Calibri" w:eastAsia="Calibri" w:hAnsi="Calibri"/>
          <w:sz w:val="20"/>
          <w:szCs w:val="20"/>
          <w:color w:val="auto"/>
        </w:rPr>
        <w:t>”) and Pagaya Technologies US LLC (the “</w:t>
      </w:r>
      <w:r>
        <w:rPr>
          <w:rFonts w:ascii="Calibri" w:cs="Calibri" w:eastAsia="Calibri" w:hAnsi="Calibri"/>
          <w:sz w:val="20"/>
          <w:szCs w:val="20"/>
          <w:b w:val="1"/>
          <w:bCs w:val="1"/>
          <w:color w:val="auto"/>
        </w:rPr>
        <w:t>Company</w:t>
      </w:r>
      <w:r>
        <w:rPr>
          <w:rFonts w:ascii="Calibri" w:cs="Calibri" w:eastAsia="Calibri" w:hAnsi="Calibri"/>
          <w:sz w:val="20"/>
          <w:szCs w:val="20"/>
          <w:color w:val="auto"/>
        </w:rPr>
        <w:t>”) (Employee and the Company collectvely referred to in this Agreement</w:t>
      </w:r>
    </w:p>
    <w:p>
      <w:pPr>
        <w:spacing w:after="0"/>
        <w:rPr>
          <w:sz w:val="20"/>
          <w:szCs w:val="20"/>
          <w:color w:val="auto"/>
        </w:rPr>
      </w:pPr>
      <w:r>
        <w:rPr>
          <w:rFonts w:ascii="Calibri" w:cs="Calibri" w:eastAsia="Calibri" w:hAnsi="Calibri"/>
          <w:sz w:val="20"/>
          <w:szCs w:val="20"/>
          <w:color w:val="auto"/>
        </w:rPr>
        <w:t>as the “</w:t>
      </w:r>
      <w:r>
        <w:rPr>
          <w:rFonts w:ascii="Calibri" w:cs="Calibri" w:eastAsia="Calibri" w:hAnsi="Calibri"/>
          <w:sz w:val="20"/>
          <w:szCs w:val="20"/>
          <w:b w:val="1"/>
          <w:bCs w:val="1"/>
          <w:color w:val="auto"/>
        </w:rPr>
        <w:t>Partes</w:t>
      </w:r>
      <w:r>
        <w:rPr>
          <w:rFonts w:ascii="Calibri" w:cs="Calibri" w:eastAsia="Calibri" w:hAnsi="Calibri"/>
          <w:sz w:val="20"/>
          <w:szCs w:val="20"/>
          <w:color w:val="auto"/>
        </w:rPr>
        <w:t>”).</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WHEREAS, Employee was employed by the Company in the positon of Chief Operatng Ofcer; and</w:t>
      </w:r>
    </w:p>
    <w:p>
      <w:pPr>
        <w:spacing w:after="0" w:line="238" w:lineRule="exact"/>
        <w:rPr>
          <w:sz w:val="20"/>
          <w:szCs w:val="20"/>
          <w:color w:val="auto"/>
        </w:rPr>
      </w:pPr>
    </w:p>
    <w:p>
      <w:pPr>
        <w:ind w:right="320" w:firstLine="648"/>
        <w:spacing w:after="0" w:line="236" w:lineRule="auto"/>
        <w:rPr>
          <w:sz w:val="20"/>
          <w:szCs w:val="20"/>
          <w:color w:val="auto"/>
        </w:rPr>
      </w:pPr>
      <w:r>
        <w:rPr>
          <w:rFonts w:ascii="Calibri" w:cs="Calibri" w:eastAsia="Calibri" w:hAnsi="Calibri"/>
          <w:sz w:val="20"/>
          <w:szCs w:val="20"/>
          <w:color w:val="auto"/>
        </w:rPr>
        <w:t>WHEREAS, in connecton with his employment with the Company, Employee entered into a certain Executve Employment Agreement, dated June 22, 2022 (the “</w:t>
      </w:r>
      <w:r>
        <w:rPr>
          <w:rFonts w:ascii="Calibri" w:cs="Calibri" w:eastAsia="Calibri" w:hAnsi="Calibri"/>
          <w:sz w:val="20"/>
          <w:szCs w:val="20"/>
          <w:b w:val="1"/>
          <w:bCs w:val="1"/>
          <w:color w:val="auto"/>
        </w:rPr>
        <w:t>Employment Agreement</w:t>
      </w:r>
      <w:r>
        <w:rPr>
          <w:rFonts w:ascii="Calibri" w:cs="Calibri" w:eastAsia="Calibri" w:hAnsi="Calibri"/>
          <w:sz w:val="20"/>
          <w:szCs w:val="20"/>
          <w:color w:val="auto"/>
        </w:rPr>
        <w:t>”) and a Confdentality and Restrictve Covenant Agreement efectve June 22, 2022 (the “</w:t>
      </w:r>
      <w:r>
        <w:rPr>
          <w:rFonts w:ascii="Calibri" w:cs="Calibri" w:eastAsia="Calibri" w:hAnsi="Calibri"/>
          <w:sz w:val="20"/>
          <w:szCs w:val="20"/>
          <w:b w:val="1"/>
          <w:bCs w:val="1"/>
          <w:color w:val="auto"/>
        </w:rPr>
        <w:t>Covenant Agreement</w:t>
      </w:r>
      <w:r>
        <w:rPr>
          <w:rFonts w:ascii="Calibri" w:cs="Calibri" w:eastAsia="Calibri" w:hAnsi="Calibri"/>
          <w:sz w:val="20"/>
          <w:szCs w:val="20"/>
          <w:color w:val="auto"/>
        </w:rPr>
        <w:t>”);</w:t>
      </w:r>
    </w:p>
    <w:p>
      <w:pPr>
        <w:spacing w:after="0" w:line="225" w:lineRule="exact"/>
        <w:rPr>
          <w:sz w:val="20"/>
          <w:szCs w:val="20"/>
          <w:color w:val="auto"/>
        </w:rPr>
      </w:pPr>
    </w:p>
    <w:p>
      <w:pPr>
        <w:ind w:right="40" w:firstLine="648"/>
        <w:spacing w:after="0" w:line="234" w:lineRule="auto"/>
        <w:rPr>
          <w:sz w:val="20"/>
          <w:szCs w:val="20"/>
          <w:color w:val="auto"/>
        </w:rPr>
      </w:pPr>
      <w:r>
        <w:rPr>
          <w:rFonts w:ascii="Calibri" w:cs="Calibri" w:eastAsia="Calibri" w:hAnsi="Calibri"/>
          <w:sz w:val="20"/>
          <w:szCs w:val="20"/>
          <w:color w:val="auto"/>
        </w:rPr>
        <w:t>WHEREAS, Employee and the Company have mutually agreed that his employment as the Company’s Chief Operatng Ofcer will terminate efectve August 8, 2024 (the “</w:t>
      </w:r>
      <w:r>
        <w:rPr>
          <w:rFonts w:ascii="Calibri" w:cs="Calibri" w:eastAsia="Calibri" w:hAnsi="Calibri"/>
          <w:sz w:val="20"/>
          <w:szCs w:val="20"/>
          <w:b w:val="1"/>
          <w:bCs w:val="1"/>
          <w:color w:val="auto"/>
        </w:rPr>
        <w:t>Separaton Date</w:t>
      </w:r>
      <w:r>
        <w:rPr>
          <w:rFonts w:ascii="Calibri" w:cs="Calibri" w:eastAsia="Calibri" w:hAnsi="Calibri"/>
          <w:sz w:val="20"/>
          <w:szCs w:val="20"/>
          <w:color w:val="auto"/>
        </w:rPr>
        <w:t>”);</w:t>
      </w:r>
    </w:p>
    <w:p>
      <w:pPr>
        <w:spacing w:after="0" w:line="226" w:lineRule="exact"/>
        <w:rPr>
          <w:sz w:val="20"/>
          <w:szCs w:val="20"/>
          <w:color w:val="auto"/>
        </w:rPr>
      </w:pPr>
    </w:p>
    <w:p>
      <w:pPr>
        <w:ind w:right="40" w:firstLine="648"/>
        <w:spacing w:after="0" w:line="242" w:lineRule="auto"/>
        <w:rPr>
          <w:sz w:val="20"/>
          <w:szCs w:val="20"/>
          <w:color w:val="auto"/>
        </w:rPr>
      </w:pPr>
      <w:r>
        <w:rPr>
          <w:rFonts w:ascii="Calibri" w:cs="Calibri" w:eastAsia="Calibri" w:hAnsi="Calibri"/>
          <w:sz w:val="20"/>
          <w:szCs w:val="20"/>
          <w:color w:val="auto"/>
        </w:rPr>
        <w:t>WHEREAS, Employee is also entering into a consultng agreement with Company which shall contnue untl January 31, 2025 (the “</w:t>
      </w:r>
      <w:r>
        <w:rPr>
          <w:rFonts w:ascii="Calibri" w:cs="Calibri" w:eastAsia="Calibri" w:hAnsi="Calibri"/>
          <w:sz w:val="20"/>
          <w:szCs w:val="20"/>
          <w:b w:val="1"/>
          <w:bCs w:val="1"/>
          <w:color w:val="auto"/>
        </w:rPr>
        <w:t>Consultng Agreement</w:t>
      </w:r>
      <w:r>
        <w:rPr>
          <w:rFonts w:ascii="Calibri" w:cs="Calibri" w:eastAsia="Calibri" w:hAnsi="Calibri"/>
          <w:sz w:val="20"/>
          <w:szCs w:val="20"/>
          <w:color w:val="auto"/>
        </w:rPr>
        <w:t>”), and</w:t>
      </w:r>
    </w:p>
    <w:p>
      <w:pPr>
        <w:spacing w:after="0" w:line="21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WHEREAS, the Company desires to assist Employee in his transiton from the Company; and</w:t>
      </w:r>
    </w:p>
    <w:p>
      <w:pPr>
        <w:spacing w:after="0" w:line="225" w:lineRule="exact"/>
        <w:rPr>
          <w:sz w:val="20"/>
          <w:szCs w:val="20"/>
          <w:color w:val="auto"/>
        </w:rPr>
      </w:pPr>
    </w:p>
    <w:p>
      <w:pPr>
        <w:ind w:right="380" w:firstLine="648"/>
        <w:spacing w:after="0" w:line="234" w:lineRule="auto"/>
        <w:rPr>
          <w:sz w:val="20"/>
          <w:szCs w:val="20"/>
          <w:color w:val="auto"/>
        </w:rPr>
      </w:pPr>
      <w:r>
        <w:rPr>
          <w:rFonts w:ascii="Calibri" w:cs="Calibri" w:eastAsia="Calibri" w:hAnsi="Calibri"/>
          <w:sz w:val="20"/>
          <w:szCs w:val="20"/>
          <w:color w:val="auto"/>
        </w:rPr>
        <w:t>WHEREAS, the Company and Employee mutually desire to compromise and setle any and all claims, disputes, controversies, maters or afairs between them, whether or not currently asserted or known, on the terms set forth in this Agreement.</w:t>
      </w:r>
    </w:p>
    <w:p>
      <w:pPr>
        <w:spacing w:after="0" w:line="226" w:lineRule="exact"/>
        <w:rPr>
          <w:sz w:val="20"/>
          <w:szCs w:val="20"/>
          <w:color w:val="auto"/>
        </w:rPr>
      </w:pPr>
    </w:p>
    <w:p>
      <w:pPr>
        <w:ind w:right="480" w:firstLine="648"/>
        <w:spacing w:after="0"/>
        <w:rPr>
          <w:sz w:val="20"/>
          <w:szCs w:val="20"/>
          <w:color w:val="auto"/>
        </w:rPr>
      </w:pPr>
      <w:r>
        <w:rPr>
          <w:rFonts w:ascii="Calibri" w:cs="Calibri" w:eastAsia="Calibri" w:hAnsi="Calibri"/>
          <w:sz w:val="20"/>
          <w:szCs w:val="20"/>
          <w:color w:val="auto"/>
        </w:rPr>
        <w:t>NOW THEREFORE, in recogniton of the foregoing and in consideraton of the mutual covenants and obligatons contained herein, and other good and valuable consideraton, the receipt and sufciency of which is hereby acknowledged, Employee and the Company agree as follows:</w:t>
      </w:r>
    </w:p>
    <w:p>
      <w:pPr>
        <w:spacing w:after="0" w:line="226" w:lineRule="exact"/>
        <w:rPr>
          <w:sz w:val="20"/>
          <w:szCs w:val="20"/>
          <w:color w:val="auto"/>
        </w:rPr>
      </w:pPr>
    </w:p>
    <w:p>
      <w:pPr>
        <w:ind w:firstLine="656"/>
        <w:spacing w:after="0" w:line="228" w:lineRule="auto"/>
        <w:tabs>
          <w:tab w:leader="none" w:pos="1288" w:val="left"/>
        </w:tabs>
        <w:numPr>
          <w:ilvl w:val="0"/>
          <w:numId w:val="12"/>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Severance Benefts</w:t>
      </w:r>
      <w:r>
        <w:rPr>
          <w:rFonts w:ascii="Calibri" w:cs="Calibri" w:eastAsia="Calibri" w:hAnsi="Calibri"/>
          <w:sz w:val="20"/>
          <w:szCs w:val="20"/>
          <w:color w:val="auto"/>
        </w:rPr>
        <w:t>. If Employee tmely executes and does not subsequently revoke this Agreement, the Company will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provide the following Severance Benefts:</w:t>
      </w:r>
    </w:p>
    <w:p>
      <w:pPr>
        <w:spacing w:after="0" w:line="224" w:lineRule="exact"/>
        <w:rPr>
          <w:rFonts w:ascii="Calibri" w:cs="Calibri" w:eastAsia="Calibri" w:hAnsi="Calibri"/>
          <w:sz w:val="20"/>
          <w:szCs w:val="20"/>
          <w:color w:val="auto"/>
        </w:rPr>
      </w:pPr>
    </w:p>
    <w:p>
      <w:pPr>
        <w:jc w:val="both"/>
        <w:ind w:left="660" w:firstLine="644"/>
        <w:spacing w:after="0" w:line="231" w:lineRule="auto"/>
        <w:tabs>
          <w:tab w:leader="none" w:pos="1960" w:val="left"/>
        </w:tabs>
        <w:numPr>
          <w:ilvl w:val="1"/>
          <w:numId w:val="12"/>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Transitonal Period</w:t>
      </w:r>
      <w:r>
        <w:rPr>
          <w:rFonts w:ascii="Calibri" w:cs="Calibri" w:eastAsia="Calibri" w:hAnsi="Calibri"/>
          <w:sz w:val="20"/>
          <w:szCs w:val="20"/>
          <w:color w:val="auto"/>
        </w:rPr>
        <w:t>. Beginning the date hereof and through the Separaton Date, Employee shall make themself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reasonably available to respond to the Company’s e-mails and phone calls and otherwise assist with any transiton related tasks and reasonable requests of the Company.</w:t>
      </w:r>
    </w:p>
    <w:p>
      <w:pPr>
        <w:spacing w:after="0" w:line="226" w:lineRule="exact"/>
        <w:rPr>
          <w:rFonts w:ascii="Calibri" w:cs="Calibri" w:eastAsia="Calibri" w:hAnsi="Calibri"/>
          <w:sz w:val="20"/>
          <w:szCs w:val="20"/>
          <w:color w:val="auto"/>
        </w:rPr>
      </w:pPr>
    </w:p>
    <w:p>
      <w:pPr>
        <w:jc w:val="both"/>
        <w:ind w:left="1300" w:firstLine="652"/>
        <w:spacing w:after="0" w:line="233" w:lineRule="auto"/>
        <w:tabs>
          <w:tab w:leader="none" w:pos="2590" w:val="left"/>
        </w:tabs>
        <w:numPr>
          <w:ilvl w:val="2"/>
          <w:numId w:val="12"/>
        </w:numPr>
        <w:rPr>
          <w:rFonts w:ascii="Calibri" w:cs="Calibri" w:eastAsia="Calibri" w:hAnsi="Calibri"/>
          <w:sz w:val="20"/>
          <w:szCs w:val="20"/>
          <w:color w:val="auto"/>
        </w:rPr>
      </w:pPr>
      <w:r>
        <w:rPr>
          <w:rFonts w:ascii="Calibri" w:cs="Calibri" w:eastAsia="Calibri" w:hAnsi="Calibri"/>
          <w:sz w:val="20"/>
          <w:szCs w:val="20"/>
          <w:color w:val="auto"/>
        </w:rPr>
        <w:t>During the Transitonal Period, Employee remains an actve employee of the Company. That means that Employee has a legal obligaton to be loyal to the Company, maintain the Company’s confdental and proprietary informaton, adhere to the Company’s non-compete and non-solicit obligatons and otherwise avoid actng in a manner contrary to Company’s interests.</w:t>
      </w:r>
    </w:p>
    <w:p>
      <w:pPr>
        <w:spacing w:after="0" w:line="212" w:lineRule="exact"/>
        <w:rPr>
          <w:rFonts w:ascii="Calibri" w:cs="Calibri" w:eastAsia="Calibri" w:hAnsi="Calibri"/>
          <w:sz w:val="20"/>
          <w:szCs w:val="20"/>
          <w:color w:val="auto"/>
        </w:rPr>
      </w:pPr>
    </w:p>
    <w:p>
      <w:pPr>
        <w:jc w:val="both"/>
        <w:ind w:left="1300" w:right="20" w:firstLine="652"/>
        <w:spacing w:after="0" w:line="231" w:lineRule="auto"/>
        <w:tabs>
          <w:tab w:leader="none" w:pos="2596" w:val="left"/>
        </w:tabs>
        <w:numPr>
          <w:ilvl w:val="2"/>
          <w:numId w:val="12"/>
        </w:numPr>
        <w:rPr>
          <w:rFonts w:ascii="Calibri" w:cs="Calibri" w:eastAsia="Calibri" w:hAnsi="Calibri"/>
          <w:sz w:val="20"/>
          <w:szCs w:val="20"/>
          <w:color w:val="auto"/>
        </w:rPr>
      </w:pPr>
      <w:r>
        <w:rPr>
          <w:rFonts w:ascii="Calibri" w:cs="Calibri" w:eastAsia="Calibri" w:hAnsi="Calibri"/>
          <w:sz w:val="20"/>
          <w:szCs w:val="20"/>
          <w:color w:val="auto"/>
        </w:rPr>
        <w:t>For purposes of this Agreement, “Cause” for the Company to consider the Agreement materially breached and thereby terminate Employee’s Severance Benefts shall exist if any of the following occur during the Transitonal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630555</wp:posOffset>
            </wp:positionV>
            <wp:extent cx="2366010" cy="291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366010" cy="2914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20" w:lineRule="exact"/>
        <w:rPr>
          <w:sz w:val="20"/>
          <w:szCs w:val="20"/>
          <w:color w:val="auto"/>
        </w:rPr>
      </w:pPr>
    </w:p>
    <w:p>
      <w:pPr>
        <w:ind w:left="1960" w:right="20" w:firstLine="640"/>
        <w:spacing w:after="0" w:line="228" w:lineRule="auto"/>
        <w:tabs>
          <w:tab w:leader="none" w:pos="3253" w:val="left"/>
        </w:tabs>
        <w:numPr>
          <w:ilvl w:val="2"/>
          <w:numId w:val="13"/>
        </w:numPr>
        <w:rPr>
          <w:rFonts w:ascii="Calibri" w:cs="Calibri" w:eastAsia="Calibri" w:hAnsi="Calibri"/>
          <w:sz w:val="20"/>
          <w:szCs w:val="20"/>
          <w:color w:val="auto"/>
        </w:rPr>
      </w:pPr>
      <w:r>
        <w:rPr>
          <w:rFonts w:ascii="Calibri" w:cs="Calibri" w:eastAsia="Calibri" w:hAnsi="Calibri"/>
          <w:sz w:val="20"/>
          <w:szCs w:val="20"/>
          <w:color w:val="auto"/>
        </w:rPr>
        <w:t xml:space="preserve">Employee’s convicton (including a guilty plea or plea of </w:t>
      </w:r>
      <w:r>
        <w:rPr>
          <w:rFonts w:ascii="Calibri" w:cs="Calibri" w:eastAsia="Calibri" w:hAnsi="Calibri"/>
          <w:sz w:val="20"/>
          <w:szCs w:val="20"/>
          <w:i w:val="1"/>
          <w:iCs w:val="1"/>
          <w:color w:val="auto"/>
        </w:rPr>
        <w:t>nolo contendere</w:t>
      </w:r>
      <w:r>
        <w:rPr>
          <w:rFonts w:ascii="Calibri" w:cs="Calibri" w:eastAsia="Calibri" w:hAnsi="Calibri"/>
          <w:sz w:val="20"/>
          <w:szCs w:val="20"/>
          <w:color w:val="auto"/>
        </w:rPr>
        <w:t>) of any felony, or any crime involving fraud, dishonesty or moral turpitude;</w:t>
      </w:r>
    </w:p>
    <w:p>
      <w:pPr>
        <w:spacing w:after="0" w:line="224" w:lineRule="exact"/>
        <w:rPr>
          <w:rFonts w:ascii="Calibri" w:cs="Calibri" w:eastAsia="Calibri" w:hAnsi="Calibri"/>
          <w:sz w:val="20"/>
          <w:szCs w:val="20"/>
          <w:color w:val="auto"/>
        </w:rPr>
      </w:pPr>
    </w:p>
    <w:p>
      <w:pPr>
        <w:ind w:left="1960" w:right="20" w:firstLine="640"/>
        <w:spacing w:after="0" w:line="228" w:lineRule="auto"/>
        <w:tabs>
          <w:tab w:leader="none" w:pos="3259" w:val="left"/>
        </w:tabs>
        <w:numPr>
          <w:ilvl w:val="2"/>
          <w:numId w:val="13"/>
        </w:numPr>
        <w:rPr>
          <w:rFonts w:ascii="Calibri" w:cs="Calibri" w:eastAsia="Calibri" w:hAnsi="Calibri"/>
          <w:sz w:val="20"/>
          <w:szCs w:val="20"/>
          <w:color w:val="auto"/>
        </w:rPr>
      </w:pPr>
      <w:r>
        <w:rPr>
          <w:rFonts w:ascii="Calibri" w:cs="Calibri" w:eastAsia="Calibri" w:hAnsi="Calibri"/>
          <w:sz w:val="20"/>
          <w:szCs w:val="20"/>
          <w:color w:val="auto"/>
        </w:rPr>
        <w:t>Employee’s commission or atempted commission of or partcipaton in a fraud or act of dishonesty, or misrepresentaton against the Company;</w:t>
      </w:r>
    </w:p>
    <w:p>
      <w:pPr>
        <w:spacing w:after="0" w:line="224" w:lineRule="exact"/>
        <w:rPr>
          <w:rFonts w:ascii="Calibri" w:cs="Calibri" w:eastAsia="Calibri" w:hAnsi="Calibri"/>
          <w:sz w:val="20"/>
          <w:szCs w:val="20"/>
          <w:color w:val="auto"/>
        </w:rPr>
      </w:pPr>
    </w:p>
    <w:p>
      <w:pPr>
        <w:jc w:val="both"/>
        <w:ind w:left="1960" w:firstLine="640"/>
        <w:spacing w:after="0" w:line="231" w:lineRule="auto"/>
        <w:tabs>
          <w:tab w:leader="none" w:pos="3257" w:val="left"/>
        </w:tabs>
        <w:numPr>
          <w:ilvl w:val="2"/>
          <w:numId w:val="13"/>
        </w:numPr>
        <w:rPr>
          <w:rFonts w:ascii="Calibri" w:cs="Calibri" w:eastAsia="Calibri" w:hAnsi="Calibri"/>
          <w:sz w:val="20"/>
          <w:szCs w:val="20"/>
          <w:color w:val="auto"/>
        </w:rPr>
      </w:pPr>
      <w:r>
        <w:rPr>
          <w:rFonts w:ascii="Calibri" w:cs="Calibri" w:eastAsia="Calibri" w:hAnsi="Calibri"/>
          <w:sz w:val="20"/>
          <w:szCs w:val="20"/>
          <w:color w:val="auto"/>
        </w:rPr>
        <w:t>Employee’s material violaton of any material contract or agreement between Employee and the Company, including without limitaton, material breach of the Covenant Agreement, or of the Company’s Code of Conduct or any material Company policy, or of any statutory duty Employee owes to the Company; or</w:t>
      </w:r>
    </w:p>
    <w:p>
      <w:pPr>
        <w:spacing w:after="0" w:line="216" w:lineRule="exact"/>
        <w:rPr>
          <w:rFonts w:ascii="Calibri" w:cs="Calibri" w:eastAsia="Calibri" w:hAnsi="Calibri"/>
          <w:sz w:val="20"/>
          <w:szCs w:val="20"/>
          <w:color w:val="auto"/>
        </w:rPr>
      </w:pPr>
    </w:p>
    <w:p>
      <w:pPr>
        <w:ind w:left="3260" w:hanging="660"/>
        <w:spacing w:after="0"/>
        <w:tabs>
          <w:tab w:leader="none" w:pos="3260" w:val="left"/>
        </w:tabs>
        <w:numPr>
          <w:ilvl w:val="2"/>
          <w:numId w:val="13"/>
        </w:numPr>
        <w:rPr>
          <w:rFonts w:ascii="Calibri" w:cs="Calibri" w:eastAsia="Calibri" w:hAnsi="Calibri"/>
          <w:sz w:val="20"/>
          <w:szCs w:val="20"/>
          <w:color w:val="auto"/>
        </w:rPr>
      </w:pPr>
      <w:r>
        <w:rPr>
          <w:rFonts w:ascii="Calibri" w:cs="Calibri" w:eastAsia="Calibri" w:hAnsi="Calibri"/>
          <w:sz w:val="20"/>
          <w:szCs w:val="20"/>
          <w:color w:val="auto"/>
        </w:rPr>
        <w:t>Employee’s conduct that consttutes gross insubordinaton, incompetence, or habitual neglect of</w:t>
      </w:r>
    </w:p>
    <w:p>
      <w:pPr>
        <w:ind w:left="1960"/>
        <w:spacing w:after="0" w:line="225" w:lineRule="auto"/>
        <w:rPr>
          <w:rFonts w:ascii="Calibri" w:cs="Calibri" w:eastAsia="Calibri" w:hAnsi="Calibri"/>
          <w:sz w:val="20"/>
          <w:szCs w:val="20"/>
          <w:color w:val="auto"/>
        </w:rPr>
      </w:pPr>
      <w:r>
        <w:rPr>
          <w:rFonts w:ascii="Calibri" w:cs="Calibri" w:eastAsia="Calibri" w:hAnsi="Calibri"/>
          <w:sz w:val="20"/>
          <w:szCs w:val="20"/>
          <w:color w:val="auto"/>
        </w:rPr>
        <w:t>dutes.</w:t>
      </w:r>
    </w:p>
    <w:p>
      <w:pPr>
        <w:spacing w:after="0" w:line="225" w:lineRule="exact"/>
        <w:rPr>
          <w:rFonts w:ascii="Calibri" w:cs="Calibri" w:eastAsia="Calibri" w:hAnsi="Calibri"/>
          <w:sz w:val="20"/>
          <w:szCs w:val="20"/>
          <w:color w:val="auto"/>
        </w:rPr>
      </w:pPr>
    </w:p>
    <w:p>
      <w:pPr>
        <w:jc w:val="both"/>
        <w:ind w:left="660" w:right="20" w:firstLine="644"/>
        <w:spacing w:after="0" w:line="231" w:lineRule="auto"/>
        <w:tabs>
          <w:tab w:leader="none" w:pos="1956" w:val="left"/>
        </w:tabs>
        <w:numPr>
          <w:ilvl w:val="1"/>
          <w:numId w:val="14"/>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Salary Contnuaton</w:t>
      </w:r>
      <w:r>
        <w:rPr>
          <w:rFonts w:ascii="Calibri" w:cs="Calibri" w:eastAsia="Calibri" w:hAnsi="Calibri"/>
          <w:sz w:val="20"/>
          <w:szCs w:val="20"/>
          <w:color w:val="auto"/>
        </w:rPr>
        <w:t>. Employee will contnue to receive Employee’s Base Salary through the Separaton Date.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Employee’s benefts will contnue through July 31, 2024. Employee is permited to represent themself to prospectve employers as an employee of the Company through the Separaton Date.</w:t>
      </w:r>
    </w:p>
    <w:p>
      <w:pPr>
        <w:spacing w:after="0" w:line="226" w:lineRule="exact"/>
        <w:rPr>
          <w:rFonts w:ascii="Calibri" w:cs="Calibri" w:eastAsia="Calibri" w:hAnsi="Calibri"/>
          <w:sz w:val="20"/>
          <w:szCs w:val="20"/>
          <w:color w:val="auto"/>
        </w:rPr>
      </w:pPr>
    </w:p>
    <w:p>
      <w:pPr>
        <w:jc w:val="both"/>
        <w:ind w:left="660" w:right="20" w:firstLine="644"/>
        <w:spacing w:after="0" w:line="231" w:lineRule="auto"/>
        <w:tabs>
          <w:tab w:leader="none" w:pos="1948" w:val="left"/>
        </w:tabs>
        <w:numPr>
          <w:ilvl w:val="1"/>
          <w:numId w:val="14"/>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Separaton Payment</w:t>
      </w:r>
      <w:r>
        <w:rPr>
          <w:rFonts w:ascii="Calibri" w:cs="Calibri" w:eastAsia="Calibri" w:hAnsi="Calibri"/>
          <w:sz w:val="20"/>
          <w:szCs w:val="20"/>
          <w:color w:val="auto"/>
        </w:rPr>
        <w:t>. The Company will pay Employee the total gross sum of $160,273.97, less applicable taxes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and withholding (the “</w:t>
      </w:r>
      <w:r>
        <w:rPr>
          <w:rFonts w:ascii="Calibri" w:cs="Calibri" w:eastAsia="Calibri" w:hAnsi="Calibri"/>
          <w:sz w:val="20"/>
          <w:szCs w:val="20"/>
          <w:b w:val="1"/>
          <w:bCs w:val="1"/>
          <w:color w:val="auto"/>
        </w:rPr>
        <w:t>Separaton Payment</w:t>
      </w:r>
      <w:r>
        <w:rPr>
          <w:rFonts w:ascii="Calibri" w:cs="Calibri" w:eastAsia="Calibri" w:hAnsi="Calibri"/>
          <w:sz w:val="20"/>
          <w:szCs w:val="20"/>
          <w:color w:val="auto"/>
        </w:rPr>
        <w:t>”), to be paid to Employee on the next regular payroll date following the Efectve Date of this Agreement (as defned below).</w:t>
      </w:r>
    </w:p>
    <w:p>
      <w:pPr>
        <w:spacing w:after="0" w:line="226" w:lineRule="exact"/>
        <w:rPr>
          <w:rFonts w:ascii="Calibri" w:cs="Calibri" w:eastAsia="Calibri" w:hAnsi="Calibri"/>
          <w:sz w:val="20"/>
          <w:szCs w:val="20"/>
          <w:color w:val="auto"/>
        </w:rPr>
      </w:pPr>
    </w:p>
    <w:p>
      <w:pPr>
        <w:jc w:val="both"/>
        <w:ind w:left="660" w:firstLine="644"/>
        <w:spacing w:after="0" w:line="230" w:lineRule="auto"/>
        <w:tabs>
          <w:tab w:leader="none" w:pos="1956" w:val="left"/>
        </w:tabs>
        <w:numPr>
          <w:ilvl w:val="1"/>
          <w:numId w:val="14"/>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COBRA Payment</w:t>
      </w:r>
      <w:r>
        <w:rPr>
          <w:rFonts w:ascii="Calibri" w:cs="Calibri" w:eastAsia="Calibri" w:hAnsi="Calibri"/>
          <w:sz w:val="20"/>
          <w:szCs w:val="20"/>
          <w:color w:val="auto"/>
        </w:rPr>
        <w:t>. The Company will pay Employee the cash equivalent of 3 months of Employee’s porton of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COBRA insurance premiums (the informaton for which will be provided to Employee under separate cover) in the total gross sum of $10,882.20, less applicable taxes and withholding (the “</w:t>
      </w:r>
      <w:r>
        <w:rPr>
          <w:rFonts w:ascii="Calibri" w:cs="Calibri" w:eastAsia="Calibri" w:hAnsi="Calibri"/>
          <w:sz w:val="20"/>
          <w:szCs w:val="20"/>
          <w:b w:val="1"/>
          <w:bCs w:val="1"/>
          <w:color w:val="auto"/>
        </w:rPr>
        <w:t>COBRA Payment</w:t>
      </w:r>
      <w:r>
        <w:rPr>
          <w:rFonts w:ascii="Calibri" w:cs="Calibri" w:eastAsia="Calibri" w:hAnsi="Calibri"/>
          <w:sz w:val="20"/>
          <w:szCs w:val="20"/>
          <w:color w:val="auto"/>
        </w:rPr>
        <w:t>”), to be paid to Employee on the next regular payroll date following the Efectve Date of the Agreement (as defned below).</w:t>
      </w:r>
    </w:p>
    <w:p>
      <w:pPr>
        <w:spacing w:after="0" w:line="225" w:lineRule="exact"/>
        <w:rPr>
          <w:rFonts w:ascii="Calibri" w:cs="Calibri" w:eastAsia="Calibri" w:hAnsi="Calibri"/>
          <w:sz w:val="20"/>
          <w:szCs w:val="20"/>
          <w:color w:val="auto"/>
        </w:rPr>
      </w:pPr>
    </w:p>
    <w:p>
      <w:pPr>
        <w:jc w:val="both"/>
        <w:ind w:left="660" w:firstLine="644"/>
        <w:spacing w:after="0" w:line="233" w:lineRule="auto"/>
        <w:tabs>
          <w:tab w:leader="none" w:pos="1950" w:val="left"/>
        </w:tabs>
        <w:numPr>
          <w:ilvl w:val="1"/>
          <w:numId w:val="14"/>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Outplacement Services</w:t>
      </w:r>
      <w:r>
        <w:rPr>
          <w:rFonts w:ascii="Calibri" w:cs="Calibri" w:eastAsia="Calibri" w:hAnsi="Calibri"/>
          <w:sz w:val="20"/>
          <w:szCs w:val="20"/>
          <w:color w:val="auto"/>
        </w:rPr>
        <w:t>. For a period of three months following the Efectve Date, the Company will provide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outplacement services for Employee through a Company-selected outplacement frm. The Company will pay the outplacement frm directly and Employee will not receive the cash equivalent of the outplacement services should Employee choose not to use them.</w:t>
      </w:r>
    </w:p>
    <w:p>
      <w:pPr>
        <w:spacing w:after="0" w:line="212" w:lineRule="exact"/>
        <w:rPr>
          <w:rFonts w:ascii="Calibri" w:cs="Calibri" w:eastAsia="Calibri" w:hAnsi="Calibri"/>
          <w:sz w:val="20"/>
          <w:szCs w:val="20"/>
          <w:color w:val="auto"/>
        </w:rPr>
      </w:pPr>
    </w:p>
    <w:p>
      <w:pPr>
        <w:ind w:left="660" w:right="20" w:firstLine="644"/>
        <w:spacing w:after="0" w:line="234" w:lineRule="auto"/>
        <w:tabs>
          <w:tab w:leader="none" w:pos="1954" w:val="left"/>
        </w:tabs>
        <w:numPr>
          <w:ilvl w:val="1"/>
          <w:numId w:val="14"/>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Unemployment Insurance</w:t>
      </w:r>
      <w:r>
        <w:rPr>
          <w:rFonts w:ascii="Calibri" w:cs="Calibri" w:eastAsia="Calibri" w:hAnsi="Calibri"/>
          <w:sz w:val="20"/>
          <w:szCs w:val="20"/>
          <w:color w:val="auto"/>
        </w:rPr>
        <w:t>. The Company will not contest Employee’s applicaton for unemployment benefts,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should Employee apply for such benefts.</w:t>
      </w:r>
    </w:p>
    <w:p>
      <w:pPr>
        <w:spacing w:after="0" w:line="225" w:lineRule="exact"/>
        <w:rPr>
          <w:rFonts w:ascii="Calibri" w:cs="Calibri" w:eastAsia="Calibri" w:hAnsi="Calibri"/>
          <w:sz w:val="20"/>
          <w:szCs w:val="20"/>
          <w:color w:val="auto"/>
        </w:rPr>
      </w:pPr>
    </w:p>
    <w:p>
      <w:pPr>
        <w:jc w:val="both"/>
        <w:ind w:firstLine="656"/>
        <w:spacing w:after="0" w:line="230" w:lineRule="auto"/>
        <w:tabs>
          <w:tab w:leader="none" w:pos="1288" w:val="left"/>
        </w:tabs>
        <w:numPr>
          <w:ilvl w:val="0"/>
          <w:numId w:val="15"/>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No Consideraton Absent Executon of this Agreement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Employee understands and agrees that Employee would not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receive the consideraton specifed in </w:t>
      </w:r>
      <w:r>
        <w:rPr>
          <w:rFonts w:ascii="Calibri" w:cs="Calibri" w:eastAsia="Calibri" w:hAnsi="Calibri"/>
          <w:sz w:val="20"/>
          <w:szCs w:val="20"/>
          <w:u w:val="single" w:color="auto"/>
          <w:color w:val="auto"/>
        </w:rPr>
        <w:t>Secton 1</w:t>
      </w:r>
      <w:r>
        <w:rPr>
          <w:rFonts w:ascii="Calibri" w:cs="Calibri" w:eastAsia="Calibri" w:hAnsi="Calibri"/>
          <w:sz w:val="20"/>
          <w:szCs w:val="20"/>
          <w:color w:val="auto"/>
        </w:rPr>
        <w:t xml:space="preserve"> above, except for Employee’s executon of this Agreement and the fulfllment of the promises contained herein. Employee acknowledges and agrees the Separaton Benefts provided for pursuant to this Agreement are above and beyond any compensaton or benefts to which Employee otherwise would be enttled, and thus consttutes valid consideraton in support of this Agreement, including Employee’s general release of claims as set forth in </w:t>
      </w:r>
      <w:r>
        <w:rPr>
          <w:rFonts w:ascii="Calibri" w:cs="Calibri" w:eastAsia="Calibri" w:hAnsi="Calibri"/>
          <w:sz w:val="20"/>
          <w:szCs w:val="20"/>
          <w:u w:val="single" w:color="auto"/>
          <w:color w:val="auto"/>
        </w:rPr>
        <w:t>Secton 4</w:t>
      </w:r>
      <w:r>
        <w:rPr>
          <w:rFonts w:ascii="Calibri" w:cs="Calibri" w:eastAsia="Calibri" w:hAnsi="Calibri"/>
          <w:sz w:val="20"/>
          <w:szCs w:val="20"/>
          <w:color w:val="auto"/>
        </w:rPr>
        <w:t xml:space="preserve"> herein and Employee’s re-afrmaton of Employee’s post-employment obligatons to the Company, as set forth in </w:t>
      </w:r>
      <w:r>
        <w:rPr>
          <w:rFonts w:ascii="Calibri" w:cs="Calibri" w:eastAsia="Calibri" w:hAnsi="Calibri"/>
          <w:sz w:val="20"/>
          <w:szCs w:val="20"/>
          <w:u w:val="single" w:color="auto"/>
          <w:color w:val="auto"/>
        </w:rPr>
        <w:t>Secton 7</w:t>
      </w:r>
      <w:r>
        <w:rPr>
          <w:rFonts w:ascii="Calibri" w:cs="Calibri" w:eastAsia="Calibri" w:hAnsi="Calibri"/>
          <w:sz w:val="20"/>
          <w:szCs w:val="20"/>
          <w:color w:val="auto"/>
        </w:rPr>
        <w:t xml:space="preserv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20" w:lineRule="exact"/>
        <w:rPr>
          <w:sz w:val="20"/>
          <w:szCs w:val="20"/>
          <w:color w:val="auto"/>
        </w:rPr>
      </w:pPr>
    </w:p>
    <w:p>
      <w:pPr>
        <w:jc w:val="both"/>
        <w:ind w:firstLine="656"/>
        <w:spacing w:after="0" w:line="232" w:lineRule="auto"/>
        <w:tabs>
          <w:tab w:leader="none" w:pos="1288" w:val="left"/>
        </w:tabs>
        <w:numPr>
          <w:ilvl w:val="0"/>
          <w:numId w:val="16"/>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Final Compensaton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Employee acknowledges that Employee has received payment for all compensaton due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Employee up through the Separaton Date (including any compensaton, benefts, and accrued and unused paid tme of earned by Employee through that date but excluding the Separaton Payment due to Employee pursuant to this Agreement). Employee’s equity (stock optons) in the Company shall contnue to be enttled to vestng up to terminaton of the Consultng Agreement, under the terms of any award agreement Employee has previously received from the Company. Employee acknowledges that following the Separaton Date, Employee will not be enttled to any further compensaton, monies, or other benefts from the Company (or any of its afliates, predecessors, successors, or other corporate afliates, and each of their respectve present and former employees, ofcers, directors, owners, shareholders, and agents). Employee further acknowledges that as of the terminaton of the Consultng Agreement, there shall be no additonal vestng of any equity in the Company (or any of its afliates), including, without limitaton, any phantom equity, royaltes, stocks, or stock optons. To the extent Employee has, as of the terminaton of the Consultng Agreement, vested optons to purchase shares of the Company’s Common Stock (the “Optons”), the period within which Employee must exercise those Optons following terminaton is dictated by the terms of Employee’s Opton Agreement. Unless specifed diferently in this Agreement or Employee’s Opton Agreement, the Company’s Equity Incentve Plans require Employee to exercise all outstanding vested Optons within three (3) months of the separaton from service or else those Optons are forfeited and returned to the Company.</w:t>
      </w:r>
    </w:p>
    <w:p>
      <w:pPr>
        <w:spacing w:after="0" w:line="233" w:lineRule="exact"/>
        <w:rPr>
          <w:rFonts w:ascii="Calibri" w:cs="Calibri" w:eastAsia="Calibri" w:hAnsi="Calibri"/>
          <w:sz w:val="20"/>
          <w:szCs w:val="20"/>
          <w:color w:val="auto"/>
        </w:rPr>
      </w:pPr>
    </w:p>
    <w:p>
      <w:pPr>
        <w:jc w:val="both"/>
        <w:ind w:right="20" w:firstLine="656"/>
        <w:spacing w:after="0" w:line="236" w:lineRule="auto"/>
        <w:tabs>
          <w:tab w:leader="none" w:pos="1288" w:val="left"/>
        </w:tabs>
        <w:numPr>
          <w:ilvl w:val="0"/>
          <w:numId w:val="16"/>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General Release of All Claims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purpose of this Agreement is to resolve any dispute Employee has or might ever have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claimed arising from or relatng to Employee’s employment or separaton of employment from the Company, and to facilitate Employee’s transiton to other employment. Accordingly, in exchange for the consideraton set forth in </w:t>
      </w:r>
      <w:r>
        <w:rPr>
          <w:rFonts w:ascii="Calibri" w:cs="Calibri" w:eastAsia="Calibri" w:hAnsi="Calibri"/>
          <w:sz w:val="20"/>
          <w:szCs w:val="20"/>
          <w:u w:val="single" w:color="auto"/>
          <w:color w:val="auto"/>
        </w:rPr>
        <w:t>Secton 1</w:t>
      </w:r>
      <w:r>
        <w:rPr>
          <w:rFonts w:ascii="Calibri" w:cs="Calibri" w:eastAsia="Calibri" w:hAnsi="Calibri"/>
          <w:sz w:val="20"/>
          <w:szCs w:val="20"/>
          <w:color w:val="auto"/>
        </w:rPr>
        <w:t xml:space="preserve"> above, Employee, on Employee’s own behalf and on behalf of Employee’s heirs, administrators, executors, and assigns, hereby irrevocably and unconditonally waives,</w:t>
      </w:r>
    </w:p>
    <w:p>
      <w:pPr>
        <w:spacing w:after="0" w:line="25" w:lineRule="exact"/>
        <w:rPr>
          <w:rFonts w:ascii="Calibri" w:cs="Calibri" w:eastAsia="Calibri" w:hAnsi="Calibri"/>
          <w:sz w:val="20"/>
          <w:szCs w:val="20"/>
          <w:color w:val="auto"/>
        </w:rPr>
      </w:pPr>
    </w:p>
    <w:p>
      <w:pPr>
        <w:ind w:right="20"/>
        <w:spacing w:after="0" w:line="237" w:lineRule="auto"/>
        <w:rPr>
          <w:rFonts w:ascii="Calibri" w:cs="Calibri" w:eastAsia="Calibri" w:hAnsi="Calibri"/>
          <w:sz w:val="20"/>
          <w:szCs w:val="20"/>
          <w:color w:val="auto"/>
        </w:rPr>
      </w:pPr>
      <w:r>
        <w:rPr>
          <w:rFonts w:ascii="Calibri" w:cs="Calibri" w:eastAsia="Calibri" w:hAnsi="Calibri"/>
          <w:sz w:val="20"/>
          <w:szCs w:val="20"/>
          <w:color w:val="auto"/>
        </w:rPr>
        <w:t>releases, and discharges the Company, and any and all of the Company’s afliates, parents, partnerships, divisions, and subsidiaries, and each of the Company’s and its existng, former and future directors, managers, members, ofcers, directors, shareholders, employees, representatves, agents, atorneys, insurers, predecessors, successors, and assigns (collectvely, the “</w:t>
      </w:r>
      <w:r>
        <w:rPr>
          <w:rFonts w:ascii="Calibri" w:cs="Calibri" w:eastAsia="Calibri" w:hAnsi="Calibri"/>
          <w:sz w:val="20"/>
          <w:szCs w:val="20"/>
          <w:b w:val="1"/>
          <w:bCs w:val="1"/>
          <w:color w:val="auto"/>
        </w:rPr>
        <w:t>Released Partes</w:t>
      </w:r>
      <w:r>
        <w:rPr>
          <w:rFonts w:ascii="Calibri" w:cs="Calibri" w:eastAsia="Calibri" w:hAnsi="Calibri"/>
          <w:sz w:val="20"/>
          <w:szCs w:val="20"/>
          <w:color w:val="auto"/>
        </w:rPr>
        <w:t>”), to the full extent permited by law, from any and all claims, demands, actons, causes of actons, judgments, rights, fees, damages, debts, obligatons, liabilites, and expenses (inclusive of atorneys’ fees) of any kind whatsoever, whether known or unknown, that Employee may have or</w:t>
      </w:r>
    </w:p>
    <w:p>
      <w:pPr>
        <w:spacing w:after="0" w:line="23" w:lineRule="exact"/>
        <w:rPr>
          <w:rFonts w:ascii="Calibri" w:cs="Calibri" w:eastAsia="Calibri" w:hAnsi="Calibri"/>
          <w:sz w:val="20"/>
          <w:szCs w:val="20"/>
          <w:color w:val="auto"/>
        </w:rPr>
      </w:pPr>
    </w:p>
    <w:p>
      <w:pPr>
        <w:ind w:right="26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has ever had against the Released Partes arising out of, or in any way related to Employee’s hire, benefts, employment, or separaton from employment with the Company by reason of any actual or alleged act, omission, transacton, practce, conduct, occurrence, or other mater from the beginning of tme up to and including the date of Employee’s executon of this Agreement, including, but not limited to any and all claims under:</w:t>
      </w:r>
    </w:p>
    <w:p>
      <w:pPr>
        <w:spacing w:after="0" w:line="227" w:lineRule="exact"/>
        <w:rPr>
          <w:rFonts w:ascii="Calibri" w:cs="Calibri" w:eastAsia="Calibri" w:hAnsi="Calibri"/>
          <w:sz w:val="20"/>
          <w:szCs w:val="20"/>
          <w:color w:val="auto"/>
        </w:rPr>
      </w:pPr>
    </w:p>
    <w:p>
      <w:pPr>
        <w:ind w:right="220" w:firstLine="1304"/>
        <w:spacing w:after="0" w:line="234" w:lineRule="auto"/>
        <w:tabs>
          <w:tab w:leader="none" w:pos="1944" w:val="left"/>
        </w:tabs>
        <w:numPr>
          <w:ilvl w:val="1"/>
          <w:numId w:val="16"/>
        </w:numPr>
        <w:rPr>
          <w:rFonts w:ascii="Calibri" w:cs="Calibri" w:eastAsia="Calibri" w:hAnsi="Calibri"/>
          <w:sz w:val="20"/>
          <w:szCs w:val="20"/>
          <w:color w:val="auto"/>
        </w:rPr>
      </w:pPr>
      <w:r>
        <w:rPr>
          <w:rFonts w:ascii="Calibri" w:cs="Calibri" w:eastAsia="Calibri" w:hAnsi="Calibri"/>
          <w:sz w:val="20"/>
          <w:szCs w:val="20"/>
          <w:color w:val="auto"/>
        </w:rPr>
        <w:t>Title VII of the Civil Rights Act of 1964 (Title VII), the Americans with Disabilites Act (ADA), the Family and Medical Leave Act (FMLA), the Families First Coronavirus Response Act (FFCRA), the Fair Labor Standards Act (FLSA), the Equal Pay Act,</w:t>
      </w:r>
    </w:p>
    <w:p>
      <w:pPr>
        <w:spacing w:after="0" w:line="23" w:lineRule="exact"/>
        <w:rPr>
          <w:rFonts w:ascii="Calibri" w:cs="Calibri" w:eastAsia="Calibri" w:hAnsi="Calibri"/>
          <w:sz w:val="20"/>
          <w:szCs w:val="20"/>
          <w:color w:val="auto"/>
        </w:rPr>
      </w:pPr>
    </w:p>
    <w:p>
      <w:pPr>
        <w:ind w:right="180"/>
        <w:spacing w:after="0" w:line="237" w:lineRule="auto"/>
        <w:rPr>
          <w:rFonts w:ascii="Calibri" w:cs="Calibri" w:eastAsia="Calibri" w:hAnsi="Calibri"/>
          <w:sz w:val="20"/>
          <w:szCs w:val="20"/>
          <w:color w:val="auto"/>
        </w:rPr>
      </w:pPr>
      <w:r>
        <w:rPr>
          <w:rFonts w:ascii="Calibri" w:cs="Calibri" w:eastAsia="Calibri" w:hAnsi="Calibri"/>
          <w:sz w:val="20"/>
          <w:szCs w:val="20"/>
          <w:color w:val="auto"/>
        </w:rPr>
        <w:t>the Employee Retrement Income Security Act (ERISA) (regarding unvested benefts), the Civil Rights Act of 1991, Secton 1981 of U.S.C. Title 42, the Worker Adjustment and Retraining Notfcaton Act (WARN), the Uniform Services Employment and Reemployment Rights Act (USERRA), the Genetc Informaton Nondiscriminaton Act (GINA), the Immigraton Reform and Control Act (IRCA), the New York State Human Rights Law (NYSHRL), the New York Labor Law (including but not limited to the Retaliatory Acton by Employers Law, the New York State Worker Adjustment and Retraining Notfcaton Act, all provisions prohibitng discriminaton and retaliaton, and all provisions regulatng wage and hour law), the New York Civil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20" w:lineRule="exact"/>
        <w:rPr>
          <w:sz w:val="20"/>
          <w:szCs w:val="20"/>
          <w:color w:val="auto"/>
        </w:rPr>
      </w:pPr>
    </w:p>
    <w:p>
      <w:pPr>
        <w:ind w:right="340"/>
        <w:spacing w:after="0" w:line="236" w:lineRule="auto"/>
        <w:rPr>
          <w:sz w:val="20"/>
          <w:szCs w:val="20"/>
          <w:color w:val="auto"/>
        </w:rPr>
      </w:pPr>
      <w:r>
        <w:rPr>
          <w:rFonts w:ascii="Calibri" w:cs="Calibri" w:eastAsia="Calibri" w:hAnsi="Calibri"/>
          <w:sz w:val="20"/>
          <w:szCs w:val="20"/>
          <w:color w:val="auto"/>
        </w:rPr>
        <w:t>Rights Law, Secton 125 of the New York Workers’ Compensaton Law, Artcle 23-A of the New York Correcton Law, the New York City Human Rights Law (NYCHRL), and the New York City Earned Sick Leave Law, all including any amendments and their respectve implementng regulatons, and any other federal, state, local, or foreign law (statutory, regulatory, or otherwise) that may be legally waived and released;</w:t>
      </w:r>
    </w:p>
    <w:p>
      <w:pPr>
        <w:spacing w:after="0" w:line="218" w:lineRule="exact"/>
        <w:rPr>
          <w:sz w:val="20"/>
          <w:szCs w:val="20"/>
          <w:color w:val="auto"/>
        </w:rPr>
      </w:pPr>
    </w:p>
    <w:p>
      <w:pPr>
        <w:ind w:left="1960" w:hanging="656"/>
        <w:spacing w:after="0"/>
        <w:tabs>
          <w:tab w:leader="none" w:pos="1960"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any and all claims arising under tort, contract, and quasi-contract law, including, but not limited to, claims of</w:t>
      </w:r>
    </w:p>
    <w:p>
      <w:pPr>
        <w:spacing w:after="0" w:line="22" w:lineRule="exact"/>
        <w:rPr>
          <w:rFonts w:ascii="Calibri" w:cs="Calibri" w:eastAsia="Calibri" w:hAnsi="Calibri"/>
          <w:sz w:val="20"/>
          <w:szCs w:val="20"/>
          <w:color w:val="auto"/>
        </w:rPr>
      </w:pPr>
    </w:p>
    <w:p>
      <w:pPr>
        <w:ind w:right="10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breach of an express or implied contract, tortous interference with contract or prospectve business advantage, breach of the covenant of good faith and fair dealing, promissory estoppel, detrimental reliance, invasion of privacy, nonphysical injury, personal injury or sickness or any other harm, wrongful or retaliatory discharge, fraud, defamaton, slander, libel, false imprisonment, and negligent or intentonal inficton of emotonal distress;</w:t>
      </w:r>
    </w:p>
    <w:p>
      <w:pPr>
        <w:spacing w:after="0" w:line="227" w:lineRule="exact"/>
        <w:rPr>
          <w:rFonts w:ascii="Calibri" w:cs="Calibri" w:eastAsia="Calibri" w:hAnsi="Calibri"/>
          <w:sz w:val="20"/>
          <w:szCs w:val="20"/>
          <w:color w:val="auto"/>
        </w:rPr>
      </w:pPr>
    </w:p>
    <w:p>
      <w:pPr>
        <w:ind w:right="200" w:firstLine="1304"/>
        <w:spacing w:after="0"/>
        <w:tabs>
          <w:tab w:leader="none" w:pos="1939"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any and all claims for monetary or equitable relief, including, but not limited, to atorneys’ fees, back pay, front pay, reinstatement, experts’ fees, medical fees or expenses, costs, and disbursements, punitve damages, liquidated damages, and penaltes; and</w:t>
      </w:r>
    </w:p>
    <w:p>
      <w:pPr>
        <w:spacing w:after="0" w:line="216" w:lineRule="exact"/>
        <w:rPr>
          <w:rFonts w:ascii="Calibri" w:cs="Calibri" w:eastAsia="Calibri" w:hAnsi="Calibri"/>
          <w:sz w:val="20"/>
          <w:szCs w:val="20"/>
          <w:color w:val="auto"/>
        </w:rPr>
      </w:pPr>
    </w:p>
    <w:p>
      <w:pPr>
        <w:ind w:left="1960" w:hanging="656"/>
        <w:spacing w:after="0"/>
        <w:tabs>
          <w:tab w:leader="none" w:pos="1960"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any indemnifcaton rights Employee has against the Company or any of the Released Partes.</w:t>
      </w:r>
    </w:p>
    <w:p>
      <w:pPr>
        <w:spacing w:after="0" w:line="225" w:lineRule="exact"/>
        <w:rPr>
          <w:sz w:val="20"/>
          <w:szCs w:val="20"/>
          <w:color w:val="auto"/>
        </w:rPr>
      </w:pPr>
    </w:p>
    <w:p>
      <w:pPr>
        <w:ind w:firstLine="648"/>
        <w:spacing w:after="0" w:line="236" w:lineRule="auto"/>
        <w:rPr>
          <w:sz w:val="20"/>
          <w:szCs w:val="20"/>
          <w:color w:val="auto"/>
        </w:rPr>
      </w:pPr>
      <w:r>
        <w:rPr>
          <w:rFonts w:ascii="Calibri" w:cs="Calibri" w:eastAsia="Calibri" w:hAnsi="Calibri"/>
          <w:sz w:val="20"/>
          <w:szCs w:val="20"/>
          <w:color w:val="auto"/>
        </w:rPr>
        <w:t>Notwithstanding the foregoing, the Partes agree that this general release does not apply to any claims that cannot be released under applicable law, or any vested benefts accrued by Employee prior to the Separaton Date under any compensaton or beneft plans, programs and arrangements maintained by the Company for the beneft of its employees and subject to ERISA.</w:t>
      </w:r>
    </w:p>
    <w:p>
      <w:pPr>
        <w:spacing w:after="0" w:line="215" w:lineRule="exact"/>
        <w:rPr>
          <w:sz w:val="20"/>
          <w:szCs w:val="20"/>
          <w:color w:val="auto"/>
        </w:rPr>
      </w:pPr>
    </w:p>
    <w:p>
      <w:pPr>
        <w:ind w:left="1300" w:hanging="644"/>
        <w:spacing w:after="0"/>
        <w:tabs>
          <w:tab w:leader="none" w:pos="1300" w:val="left"/>
        </w:tabs>
        <w:numPr>
          <w:ilvl w:val="0"/>
          <w:numId w:val="18"/>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Covenant Not To Sue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Except for an acton arising out of a breach of the terms of this Agreement, Employee agrees</w:t>
      </w:r>
    </w:p>
    <w:p>
      <w:pPr>
        <w:spacing w:after="0" w:line="22" w:lineRule="exact"/>
        <w:rPr>
          <w:rFonts w:ascii="Calibri" w:cs="Calibri" w:eastAsia="Calibri" w:hAnsi="Calibri"/>
          <w:sz w:val="20"/>
          <w:szCs w:val="20"/>
          <w:color w:val="auto"/>
        </w:rPr>
      </w:pPr>
    </w:p>
    <w:p>
      <w:pPr>
        <w:ind w:right="160"/>
        <w:spacing w:after="0" w:line="237" w:lineRule="auto"/>
        <w:rPr>
          <w:rFonts w:ascii="Calibri" w:cs="Calibri" w:eastAsia="Calibri" w:hAnsi="Calibri"/>
          <w:sz w:val="20"/>
          <w:szCs w:val="20"/>
          <w:color w:val="auto"/>
        </w:rPr>
      </w:pPr>
      <w:r>
        <w:rPr>
          <w:rFonts w:ascii="Calibri" w:cs="Calibri" w:eastAsia="Calibri" w:hAnsi="Calibri"/>
          <w:sz w:val="20"/>
          <w:szCs w:val="20"/>
          <w:color w:val="auto"/>
        </w:rPr>
        <w:t xml:space="preserve">never to bring (or cause to be brought) any claim, acton, or proceeding against the Company or any of the Released Partes regarding any act or failure to act that occurred up to and including the date on which the Partes sign this Agreement, with respect to any claim, acton or proceeding relatng to Employee’s employment or Employee’s separaton of employment from the Company, or other mater within the scope of the maters released pursuant to </w:t>
      </w:r>
      <w:r>
        <w:rPr>
          <w:rFonts w:ascii="Calibri" w:cs="Calibri" w:eastAsia="Calibri" w:hAnsi="Calibri"/>
          <w:sz w:val="20"/>
          <w:szCs w:val="20"/>
          <w:u w:val="single" w:color="auto"/>
          <w:color w:val="auto"/>
        </w:rPr>
        <w:t>Secton 4</w:t>
      </w:r>
      <w:r>
        <w:rPr>
          <w:rFonts w:ascii="Calibri" w:cs="Calibri" w:eastAsia="Calibri" w:hAnsi="Calibri"/>
          <w:sz w:val="20"/>
          <w:szCs w:val="20"/>
          <w:color w:val="auto"/>
        </w:rPr>
        <w:t xml:space="preserve"> above. Employee further promises never to insttute or pursue any such claims in any court, tribunal, arbitral forum, governmental agency or other forum; provided that, nothing in this Agreement waives or atempts to waive any claims that cannot legally be waived, or any rights Employee may have to fle a charge of discriminaton with a</w:t>
      </w:r>
    </w:p>
    <w:p>
      <w:pPr>
        <w:spacing w:after="0" w:line="25" w:lineRule="exact"/>
        <w:rPr>
          <w:rFonts w:ascii="Calibri" w:cs="Calibri" w:eastAsia="Calibri" w:hAnsi="Calibri"/>
          <w:sz w:val="20"/>
          <w:szCs w:val="20"/>
          <w:color w:val="auto"/>
        </w:rPr>
      </w:pPr>
    </w:p>
    <w:p>
      <w:pPr>
        <w:ind w:right="20"/>
        <w:spacing w:after="0" w:line="237" w:lineRule="auto"/>
        <w:rPr>
          <w:rFonts w:ascii="Calibri" w:cs="Calibri" w:eastAsia="Calibri" w:hAnsi="Calibri"/>
          <w:sz w:val="20"/>
          <w:szCs w:val="20"/>
          <w:color w:val="auto"/>
        </w:rPr>
      </w:pPr>
      <w:r>
        <w:rPr>
          <w:rFonts w:ascii="Calibri" w:cs="Calibri" w:eastAsia="Calibri" w:hAnsi="Calibri"/>
          <w:sz w:val="20"/>
          <w:szCs w:val="20"/>
          <w:color w:val="auto"/>
        </w:rPr>
        <w:t>federal or state administratve agency or cooperate or partcipate in the investgaton of an administratve charge or proceeding. To the extent Employee insttutes any such claims in any federal or state administratve agency and/or to the extent any such claims are insttuted or pursued by any other persons or enttes (in any forum), Employee hereby agrees not to seek, accept or obtain, and to hereby waive and afrmatvely forego, any recovery, damages or other relief, of any kind or nature whatsoever, that Employee may be or may have been enttled or eligible to receive, or may be or may have been awarded, as a result of such claims.</w:t>
      </w:r>
    </w:p>
    <w:p>
      <w:pPr>
        <w:spacing w:after="0" w:line="215" w:lineRule="exact"/>
        <w:rPr>
          <w:rFonts w:ascii="Calibri" w:cs="Calibri" w:eastAsia="Calibri" w:hAnsi="Calibri"/>
          <w:sz w:val="20"/>
          <w:szCs w:val="20"/>
          <w:color w:val="auto"/>
        </w:rPr>
      </w:pPr>
    </w:p>
    <w:p>
      <w:pPr>
        <w:ind w:left="1300" w:hanging="644"/>
        <w:spacing w:after="0"/>
        <w:tabs>
          <w:tab w:leader="none" w:pos="1300" w:val="left"/>
        </w:tabs>
        <w:numPr>
          <w:ilvl w:val="0"/>
          <w:numId w:val="18"/>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Employee Acknowledgements and Afrmatons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Employee acknowledges, afrms, and agrees that:</w:t>
      </w:r>
    </w:p>
    <w:p>
      <w:pPr>
        <w:spacing w:after="0" w:line="238" w:lineRule="exact"/>
        <w:rPr>
          <w:rFonts w:ascii="Calibri" w:cs="Calibri" w:eastAsia="Calibri" w:hAnsi="Calibri"/>
          <w:sz w:val="20"/>
          <w:szCs w:val="20"/>
          <w:color w:val="auto"/>
        </w:rPr>
      </w:pPr>
    </w:p>
    <w:p>
      <w:pPr>
        <w:ind w:right="80" w:firstLine="1296"/>
        <w:spacing w:after="0" w:line="234" w:lineRule="auto"/>
        <w:rPr>
          <w:rFonts w:ascii="Calibri" w:cs="Calibri" w:eastAsia="Calibri" w:hAnsi="Calibri"/>
          <w:sz w:val="20"/>
          <w:szCs w:val="20"/>
          <w:color w:val="auto"/>
        </w:rPr>
      </w:pPr>
      <w:r>
        <w:rPr>
          <w:rFonts w:ascii="Calibri" w:cs="Calibri" w:eastAsia="Calibri" w:hAnsi="Calibri"/>
          <w:sz w:val="20"/>
          <w:szCs w:val="20"/>
          <w:color w:val="auto"/>
        </w:rPr>
        <w:t>a. Employee has not fled, caused to be fled, and is not presently a party to any claim, complaint, charge, or acton against any Released Party, in any forum or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20" w:lineRule="exact"/>
        <w:rPr>
          <w:sz w:val="20"/>
          <w:szCs w:val="20"/>
          <w:color w:val="auto"/>
        </w:rPr>
      </w:pPr>
    </w:p>
    <w:p>
      <w:pPr>
        <w:ind w:right="60" w:firstLine="1304"/>
        <w:spacing w:after="0" w:line="234" w:lineRule="auto"/>
        <w:tabs>
          <w:tab w:leader="none" w:pos="1939"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Employee has no known workplace injuries or occupatonal diseases and that Employee has been granted or has not been denied any leave to which Employee was enttled under any disability accommodaton or sick leave laws;</w:t>
      </w:r>
    </w:p>
    <w:p>
      <w:pPr>
        <w:spacing w:after="0" w:line="225" w:lineRule="exact"/>
        <w:rPr>
          <w:rFonts w:ascii="Calibri" w:cs="Calibri" w:eastAsia="Calibri" w:hAnsi="Calibri"/>
          <w:sz w:val="20"/>
          <w:szCs w:val="20"/>
          <w:color w:val="auto"/>
        </w:rPr>
      </w:pPr>
    </w:p>
    <w:p>
      <w:pPr>
        <w:ind w:right="100" w:firstLine="1304"/>
        <w:spacing w:after="0"/>
        <w:tabs>
          <w:tab w:leader="none" w:pos="1946"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Employee has been paid or has received all compensaton, wages, bonuses, commissions, any prorated or other incentve pay, vacaton pay, bonuses, optons, equity grants and other benefts to which Employee may be enttled and that no such compensaton or benefts (of any kind) are due to Employee, with the excepton of Employee’s fnal payroll check, which will be paid on the next regularly scheduled pay date; and</w:t>
      </w:r>
    </w:p>
    <w:p>
      <w:pPr>
        <w:spacing w:after="0" w:line="224" w:lineRule="exact"/>
        <w:rPr>
          <w:rFonts w:ascii="Calibri" w:cs="Calibri" w:eastAsia="Calibri" w:hAnsi="Calibri"/>
          <w:sz w:val="20"/>
          <w:szCs w:val="20"/>
          <w:color w:val="auto"/>
        </w:rPr>
      </w:pPr>
    </w:p>
    <w:p>
      <w:pPr>
        <w:ind w:right="520" w:firstLine="1304"/>
        <w:spacing w:after="0" w:line="234" w:lineRule="auto"/>
        <w:tabs>
          <w:tab w:leader="none" w:pos="1939"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Employee has not assigned or otherwise transferred any rights or interests in any actual or potental claims Employee might ever have asserted against the Company or any of the Released Partes.</w:t>
      </w:r>
    </w:p>
    <w:p>
      <w:pPr>
        <w:spacing w:after="0" w:line="225" w:lineRule="exact"/>
        <w:rPr>
          <w:rFonts w:ascii="Calibri" w:cs="Calibri" w:eastAsia="Calibri" w:hAnsi="Calibri"/>
          <w:sz w:val="20"/>
          <w:szCs w:val="20"/>
          <w:color w:val="auto"/>
        </w:rPr>
      </w:pPr>
    </w:p>
    <w:p>
      <w:pPr>
        <w:ind w:right="120" w:firstLine="656"/>
        <w:spacing w:after="0" w:line="236" w:lineRule="auto"/>
        <w:tabs>
          <w:tab w:leader="none" w:pos="1288" w:val="left"/>
        </w:tabs>
        <w:numPr>
          <w:ilvl w:val="0"/>
          <w:numId w:val="20"/>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Post-Employment Obligatons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By Employee’s signature on this Agreement, Employee acknowledges that, except 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provided in </w:t>
      </w:r>
      <w:r>
        <w:rPr>
          <w:rFonts w:ascii="Calibri" w:cs="Calibri" w:eastAsia="Calibri" w:hAnsi="Calibri"/>
          <w:sz w:val="20"/>
          <w:szCs w:val="20"/>
          <w:u w:val="single" w:color="auto"/>
          <w:color w:val="auto"/>
        </w:rPr>
        <w:t>Secton 1</w:t>
      </w:r>
      <w:r>
        <w:rPr>
          <w:rFonts w:ascii="Calibri" w:cs="Calibri" w:eastAsia="Calibri" w:hAnsi="Calibri"/>
          <w:sz w:val="20"/>
          <w:szCs w:val="20"/>
          <w:color w:val="auto"/>
        </w:rPr>
        <w:t xml:space="preserve"> herein, Employee has complied and will contnue to comply in full with Employee’s post-employment terms as set forth in the Covenant Agreement, including, without limitaton, the Confdentality terms as set forth in Artcle 2.1, the Covenants</w:t>
      </w:r>
    </w:p>
    <w:p>
      <w:pPr>
        <w:spacing w:after="0" w:line="22" w:lineRule="exact"/>
        <w:rPr>
          <w:rFonts w:ascii="Calibri" w:cs="Calibri" w:eastAsia="Calibri" w:hAnsi="Calibri"/>
          <w:sz w:val="20"/>
          <w:szCs w:val="20"/>
          <w:color w:val="auto"/>
        </w:rPr>
      </w:pPr>
    </w:p>
    <w:p>
      <w:pPr>
        <w:ind w:right="48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Against Competton and Solicitaton as set forth in Artcle 2.3, and the Non-Disparagement terms as set forth in Artcle 2.4 therein, which terms shall remain in full force and efect and which are incorporated by reference as if set forth in full herein.</w:t>
      </w:r>
    </w:p>
    <w:p>
      <w:pPr>
        <w:spacing w:after="0" w:line="225" w:lineRule="exact"/>
        <w:rPr>
          <w:rFonts w:ascii="Calibri" w:cs="Calibri" w:eastAsia="Calibri" w:hAnsi="Calibri"/>
          <w:sz w:val="20"/>
          <w:szCs w:val="20"/>
          <w:color w:val="auto"/>
        </w:rPr>
      </w:pPr>
    </w:p>
    <w:p>
      <w:pPr>
        <w:ind w:right="20" w:firstLine="656"/>
        <w:spacing w:after="0" w:line="239" w:lineRule="auto"/>
        <w:tabs>
          <w:tab w:leader="none" w:pos="1288" w:val="left"/>
        </w:tabs>
        <w:numPr>
          <w:ilvl w:val="0"/>
          <w:numId w:val="20"/>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No Admission of Liability &amp; Inadmissibility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Employee and the Company agree that nothing in this Agreement is to be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construed as an admission of liability by the Company or any Released Partes of any unlawful, discriminatory, or other wrongful conduct or practce. This Agreement is ofered to resolve fully all maters which Employee has, may have, or might ever have raised relatve to Employee’s employment with and/or separaton from the Company. This Agreement shall not be used as evidence in any proceeding, except one alleging a breach of this Agreement.</w:t>
      </w:r>
    </w:p>
    <w:p>
      <w:pPr>
        <w:spacing w:after="0" w:line="228" w:lineRule="exact"/>
        <w:rPr>
          <w:rFonts w:ascii="Calibri" w:cs="Calibri" w:eastAsia="Calibri" w:hAnsi="Calibri"/>
          <w:sz w:val="20"/>
          <w:szCs w:val="20"/>
          <w:color w:val="auto"/>
        </w:rPr>
      </w:pPr>
    </w:p>
    <w:p>
      <w:pPr>
        <w:ind w:firstLine="656"/>
        <w:spacing w:after="0" w:line="237" w:lineRule="auto"/>
        <w:tabs>
          <w:tab w:leader="none" w:pos="1288" w:val="left"/>
        </w:tabs>
        <w:numPr>
          <w:ilvl w:val="0"/>
          <w:numId w:val="20"/>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Return of Company Property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By Employee’s signature on this Agreement, Employee acknowledges that Employee is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full compliance with Artcle 2.1(D) of the Covenant Agreement, and certfes that Employee will return to the Company any and all property of the Company in Employee’s possession on or prior to the Separaton Date, in any form and medium in which Employee has it (whether hard copy, electronic or otherwise), including any laptops, printers, phones, and any other devices, records, data, notes, reports, proposals, lists, correspondence, specifcatons, drawings, blueprints, sketches, materials, equipment, other documents or</w:t>
      </w:r>
    </w:p>
    <w:p>
      <w:pPr>
        <w:spacing w:after="0" w:line="23" w:lineRule="exact"/>
        <w:rPr>
          <w:rFonts w:ascii="Calibri" w:cs="Calibri" w:eastAsia="Calibri" w:hAnsi="Calibri"/>
          <w:sz w:val="20"/>
          <w:szCs w:val="20"/>
          <w:color w:val="auto"/>
        </w:rPr>
      </w:pPr>
    </w:p>
    <w:p>
      <w:pPr>
        <w:ind w:right="80"/>
        <w:spacing w:after="0" w:line="237" w:lineRule="auto"/>
        <w:rPr>
          <w:rFonts w:ascii="Calibri" w:cs="Calibri" w:eastAsia="Calibri" w:hAnsi="Calibri"/>
          <w:sz w:val="20"/>
          <w:szCs w:val="20"/>
          <w:color w:val="auto"/>
        </w:rPr>
      </w:pPr>
      <w:r>
        <w:rPr>
          <w:rFonts w:ascii="Calibri" w:cs="Calibri" w:eastAsia="Calibri" w:hAnsi="Calibri"/>
          <w:sz w:val="20"/>
          <w:szCs w:val="20"/>
          <w:color w:val="auto"/>
        </w:rPr>
        <w:t>property, or reproductons of any aforementoned items belonging or pertaining to the Company or any of the Released Partes or their business, whether or not such items consttute, refect or contain any confdental or proprietary informaton (of any kind) (the “</w:t>
      </w:r>
      <w:r>
        <w:rPr>
          <w:rFonts w:ascii="Calibri" w:cs="Calibri" w:eastAsia="Calibri" w:hAnsi="Calibri"/>
          <w:sz w:val="20"/>
          <w:szCs w:val="20"/>
          <w:b w:val="1"/>
          <w:bCs w:val="1"/>
          <w:color w:val="auto"/>
        </w:rPr>
        <w:t>Company Property</w:t>
      </w:r>
      <w:r>
        <w:rPr>
          <w:rFonts w:ascii="Calibri" w:cs="Calibri" w:eastAsia="Calibri" w:hAnsi="Calibri"/>
          <w:sz w:val="20"/>
          <w:szCs w:val="20"/>
          <w:color w:val="auto"/>
        </w:rPr>
        <w:t>”); provided, however, the Company agrees that Employee need not return, and may keep, the iPad that was given to him during his employment (afer all Pagaya confdental informaton and related apps are removed). Furthermore, to the extent that Employee is engaged to provide services to the Company afer the Separaton Date, then Employee may maintain possession of the laptop given to him during his employment for the duraton of that engagement.</w:t>
      </w:r>
    </w:p>
    <w:p>
      <w:pPr>
        <w:spacing w:after="0" w:line="241" w:lineRule="exact"/>
        <w:rPr>
          <w:rFonts w:ascii="Calibri" w:cs="Calibri" w:eastAsia="Calibri" w:hAnsi="Calibri"/>
          <w:sz w:val="20"/>
          <w:szCs w:val="20"/>
          <w:color w:val="auto"/>
        </w:rPr>
      </w:pPr>
    </w:p>
    <w:p>
      <w:pPr>
        <w:jc w:val="both"/>
        <w:ind w:right="540" w:firstLine="656"/>
        <w:spacing w:after="0" w:line="236" w:lineRule="auto"/>
        <w:tabs>
          <w:tab w:leader="none" w:pos="1296" w:val="left"/>
        </w:tabs>
        <w:numPr>
          <w:ilvl w:val="0"/>
          <w:numId w:val="20"/>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Confdental Agreement &amp; Remedies for Breach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Employee agrees (a) to treat this Agreement as confdental in all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respects and (b) except as required by law (afer giving due prior notce to the Company providing the Company with a reasonably sufcient opportunity to respond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20" w:lineRule="exact"/>
        <w:rPr>
          <w:sz w:val="20"/>
          <w:szCs w:val="20"/>
          <w:color w:val="auto"/>
        </w:rPr>
      </w:pPr>
    </w:p>
    <w:p>
      <w:pPr>
        <w:spacing w:after="0" w:line="239" w:lineRule="auto"/>
        <w:rPr>
          <w:sz w:val="20"/>
          <w:szCs w:val="20"/>
          <w:color w:val="auto"/>
        </w:rPr>
      </w:pPr>
      <w:r>
        <w:rPr>
          <w:rFonts w:ascii="Calibri" w:cs="Calibri" w:eastAsia="Calibri" w:hAnsi="Calibri"/>
          <w:sz w:val="20"/>
          <w:szCs w:val="20"/>
          <w:color w:val="auto"/>
        </w:rPr>
        <w:t>object), not to disclose its existence or contents to any person or entty other than the tax authorites and Employee’s atorney, accountant, and immediate family (afer advising such individuals of the confdental nature of this Agreement and securing their binding promise not to further disclose its existence or promise to any person or entty). If Employee does insttute or pursue any claims released pursuant to this Agreement or otherwise violate this Agreement, then, in additon to any remedies or damages available to the Company, Employee expressly agrees that, unless otherwise prohibited under applicable law, the Separaton Payment shall be immediately forfeited, less one thousand dollars ($1,000.00), which shall consttute contnuing consideraton for Employee’s obligatons under this Agreement, and Employee shall be liable and to reimburse the Company for any atorneys’ fees and/or costs or expenses incurred by the Company in defending against any such claims or otherwise in enforcing this Agreement.</w:t>
      </w:r>
    </w:p>
    <w:p>
      <w:pPr>
        <w:spacing w:after="0" w:line="229" w:lineRule="exact"/>
        <w:rPr>
          <w:sz w:val="20"/>
          <w:szCs w:val="20"/>
          <w:color w:val="auto"/>
        </w:rPr>
      </w:pPr>
    </w:p>
    <w:p>
      <w:pPr>
        <w:ind w:right="260" w:firstLine="656"/>
        <w:spacing w:after="0" w:line="236" w:lineRule="auto"/>
        <w:tabs>
          <w:tab w:leader="none" w:pos="1296" w:val="left"/>
        </w:tabs>
        <w:numPr>
          <w:ilvl w:val="0"/>
          <w:numId w:val="21"/>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Governing Law/Venue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This Agreement, the rights and obligatons of the Partes hereunder, any claim or controversy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directly or indirectly based upon or arising out of this Agreement, shall be governed by and determined in accordance with applicable provisions of the laws of the State of New York, without regard to the law of conficts of such state. The Partes hereby submit and</w:t>
      </w:r>
    </w:p>
    <w:p>
      <w:pPr>
        <w:spacing w:after="0" w:line="22" w:lineRule="exact"/>
        <w:rPr>
          <w:rFonts w:ascii="Calibri" w:cs="Calibri" w:eastAsia="Calibri" w:hAnsi="Calibri"/>
          <w:sz w:val="20"/>
          <w:szCs w:val="20"/>
          <w:color w:val="auto"/>
        </w:rPr>
      </w:pPr>
    </w:p>
    <w:p>
      <w:pPr>
        <w:ind w:right="18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consent to the jurisdicton of the State of New York and its courts for the purposes of any dispute that may arises, indirectly or directly, under this Agreement or as between the Partes.</w:t>
      </w:r>
    </w:p>
    <w:p>
      <w:pPr>
        <w:spacing w:after="0" w:line="225" w:lineRule="exact"/>
        <w:rPr>
          <w:rFonts w:ascii="Calibri" w:cs="Calibri" w:eastAsia="Calibri" w:hAnsi="Calibri"/>
          <w:sz w:val="20"/>
          <w:szCs w:val="20"/>
          <w:color w:val="auto"/>
        </w:rPr>
      </w:pPr>
    </w:p>
    <w:p>
      <w:pPr>
        <w:ind w:right="40" w:firstLine="656"/>
        <w:spacing w:after="0" w:line="236" w:lineRule="auto"/>
        <w:tabs>
          <w:tab w:leader="none" w:pos="1296" w:val="left"/>
        </w:tabs>
        <w:numPr>
          <w:ilvl w:val="0"/>
          <w:numId w:val="21"/>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Waiver of Jury Trial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EACH PARTY HERETO HEREBY WAIVES ALL RIGHTS TO TRIAL BY JURY IN ANY ACTION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PROCEEDING WHICH PERTAINS DIRECTLY OR INDIRECTLY TO THIS AGREEMENT OR OTHER AGREEMENT WHICH, IN ANY WAY, ARISES OUT OF OR RELATES TO EMPLOYEE’S EMPLOYMENT WITH THE COMPANY OR ANY OTHER RELATIONSHIP BETWEEN EMPLOYEE AND THE COMPANY.</w:t>
      </w:r>
    </w:p>
    <w:p>
      <w:pPr>
        <w:spacing w:after="0" w:line="241" w:lineRule="exact"/>
        <w:rPr>
          <w:rFonts w:ascii="Calibri" w:cs="Calibri" w:eastAsia="Calibri" w:hAnsi="Calibri"/>
          <w:sz w:val="20"/>
          <w:szCs w:val="20"/>
          <w:color w:val="auto"/>
        </w:rPr>
      </w:pPr>
    </w:p>
    <w:p>
      <w:pPr>
        <w:ind w:right="20" w:firstLine="656"/>
        <w:spacing w:after="0" w:line="236" w:lineRule="auto"/>
        <w:tabs>
          <w:tab w:leader="none" w:pos="1296" w:val="left"/>
        </w:tabs>
        <w:numPr>
          <w:ilvl w:val="0"/>
          <w:numId w:val="21"/>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Severability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provisions of this Agreement are severable, and if any part is found to be unenforceable, the remainder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shall remain fully valid and enforceable, with the unenforceable portons modifed to the minimum extent necessary to render them enforceable (or to excise some or all of such provisions from the Agreement, if/as ever may be required).</w:t>
      </w:r>
    </w:p>
    <w:p>
      <w:pPr>
        <w:spacing w:after="0" w:line="224" w:lineRule="exact"/>
        <w:rPr>
          <w:rFonts w:ascii="Calibri" w:cs="Calibri" w:eastAsia="Calibri" w:hAnsi="Calibri"/>
          <w:sz w:val="20"/>
          <w:szCs w:val="20"/>
          <w:color w:val="auto"/>
        </w:rPr>
      </w:pPr>
    </w:p>
    <w:p>
      <w:pPr>
        <w:ind w:right="180" w:firstLine="656"/>
        <w:spacing w:after="0" w:line="234" w:lineRule="auto"/>
        <w:tabs>
          <w:tab w:leader="none" w:pos="1296" w:val="left"/>
        </w:tabs>
        <w:numPr>
          <w:ilvl w:val="0"/>
          <w:numId w:val="21"/>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No Oral Modifcaton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Neither this Agreement nor any of its provisions may be altered, amended, or waived, except by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 express writen document signed by the Partes.</w:t>
      </w:r>
    </w:p>
    <w:p>
      <w:pPr>
        <w:spacing w:after="0" w:line="216" w:lineRule="exact"/>
        <w:rPr>
          <w:rFonts w:ascii="Calibri" w:cs="Calibri" w:eastAsia="Calibri" w:hAnsi="Calibri"/>
          <w:sz w:val="20"/>
          <w:szCs w:val="20"/>
          <w:color w:val="auto"/>
        </w:rPr>
      </w:pPr>
    </w:p>
    <w:p>
      <w:pPr>
        <w:ind w:left="1300" w:hanging="644"/>
        <w:spacing w:after="0"/>
        <w:tabs>
          <w:tab w:leader="none" w:pos="1300" w:val="left"/>
        </w:tabs>
        <w:numPr>
          <w:ilvl w:val="0"/>
          <w:numId w:val="21"/>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Entre Agreement/Non-Reliance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This Agreement contains the entre understanding between Employee and the</w:t>
      </w:r>
    </w:p>
    <w:p>
      <w:pPr>
        <w:spacing w:after="0" w:line="22" w:lineRule="exact"/>
        <w:rPr>
          <w:rFonts w:ascii="Calibri" w:cs="Calibri" w:eastAsia="Calibri" w:hAnsi="Calibri"/>
          <w:sz w:val="20"/>
          <w:szCs w:val="20"/>
          <w:color w:val="auto"/>
        </w:rPr>
      </w:pPr>
    </w:p>
    <w:p>
      <w:pPr>
        <w:ind w:right="8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 xml:space="preserve">Company relatng to the subject maters hereof and supersedes any and all prior and contemporaneous understandings, discussions, agreements, representatons, and warrantes of any kind, whether writen or oral, regarding any such subject maters, </w:t>
      </w:r>
      <w:r>
        <w:rPr>
          <w:rFonts w:ascii="Calibri" w:cs="Calibri" w:eastAsia="Calibri" w:hAnsi="Calibri"/>
          <w:sz w:val="20"/>
          <w:szCs w:val="20"/>
          <w:u w:val="single" w:color="auto"/>
          <w:color w:val="auto"/>
        </w:rPr>
        <w:t>provided that</w:t>
      </w:r>
      <w:r>
        <w:rPr>
          <w:rFonts w:ascii="Calibri" w:cs="Calibri" w:eastAsia="Calibri" w:hAnsi="Calibri"/>
          <w:sz w:val="20"/>
          <w:szCs w:val="20"/>
          <w:color w:val="auto"/>
        </w:rPr>
        <w:t xml:space="preserve"> the Partes agree that the Covenant Agreement shall remain in full force and efect.</w:t>
      </w:r>
    </w:p>
    <w:p>
      <w:pPr>
        <w:spacing w:after="0" w:line="224" w:lineRule="exact"/>
        <w:rPr>
          <w:rFonts w:ascii="Calibri" w:cs="Calibri" w:eastAsia="Calibri" w:hAnsi="Calibri"/>
          <w:sz w:val="20"/>
          <w:szCs w:val="20"/>
          <w:color w:val="auto"/>
        </w:rPr>
      </w:pPr>
    </w:p>
    <w:p>
      <w:pPr>
        <w:ind w:right="860" w:firstLine="656"/>
        <w:spacing w:after="0" w:line="234" w:lineRule="auto"/>
        <w:tabs>
          <w:tab w:leader="none" w:pos="1296" w:val="left"/>
        </w:tabs>
        <w:numPr>
          <w:ilvl w:val="0"/>
          <w:numId w:val="21"/>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Knowing and Voluntary Agreement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Employee is entering this Agreement knowingly and voluntarily, expressly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acknowledging that:</w:t>
      </w:r>
    </w:p>
    <w:p>
      <w:pPr>
        <w:spacing w:after="0" w:line="216" w:lineRule="exact"/>
        <w:rPr>
          <w:rFonts w:ascii="Calibri" w:cs="Calibri" w:eastAsia="Calibri" w:hAnsi="Calibri"/>
          <w:sz w:val="20"/>
          <w:szCs w:val="20"/>
          <w:color w:val="auto"/>
        </w:rPr>
      </w:pPr>
    </w:p>
    <w:p>
      <w:pPr>
        <w:ind w:left="1960" w:hanging="656"/>
        <w:spacing w:after="0"/>
        <w:tabs>
          <w:tab w:leader="none" w:pos="1960" w:val="left"/>
        </w:tabs>
        <w:numPr>
          <w:ilvl w:val="1"/>
          <w:numId w:val="21"/>
        </w:numPr>
        <w:rPr>
          <w:rFonts w:ascii="Calibri" w:cs="Calibri" w:eastAsia="Calibri" w:hAnsi="Calibri"/>
          <w:sz w:val="20"/>
          <w:szCs w:val="20"/>
          <w:color w:val="auto"/>
        </w:rPr>
      </w:pPr>
      <w:r>
        <w:rPr>
          <w:rFonts w:ascii="Calibri" w:cs="Calibri" w:eastAsia="Calibri" w:hAnsi="Calibri"/>
          <w:sz w:val="20"/>
          <w:szCs w:val="20"/>
          <w:color w:val="auto"/>
        </w:rPr>
        <w:t>Employee has read and understands each of the terms and provisions of this Agreement; and</w:t>
      </w:r>
    </w:p>
    <w:p>
      <w:pPr>
        <w:spacing w:after="0" w:line="238" w:lineRule="exact"/>
        <w:rPr>
          <w:rFonts w:ascii="Calibri" w:cs="Calibri" w:eastAsia="Calibri" w:hAnsi="Calibri"/>
          <w:sz w:val="20"/>
          <w:szCs w:val="20"/>
          <w:color w:val="auto"/>
        </w:rPr>
      </w:pPr>
    </w:p>
    <w:p>
      <w:pPr>
        <w:ind w:right="100" w:firstLine="1304"/>
        <w:spacing w:after="0" w:line="234" w:lineRule="auto"/>
        <w:tabs>
          <w:tab w:leader="none" w:pos="1939" w:val="left"/>
        </w:tabs>
        <w:numPr>
          <w:ilvl w:val="1"/>
          <w:numId w:val="21"/>
        </w:numPr>
        <w:rPr>
          <w:rFonts w:ascii="Calibri" w:cs="Calibri" w:eastAsia="Calibri" w:hAnsi="Calibri"/>
          <w:sz w:val="20"/>
          <w:szCs w:val="20"/>
          <w:color w:val="auto"/>
        </w:rPr>
      </w:pPr>
      <w:r>
        <w:rPr>
          <w:rFonts w:ascii="Calibri" w:cs="Calibri" w:eastAsia="Calibri" w:hAnsi="Calibri"/>
          <w:sz w:val="20"/>
          <w:szCs w:val="20"/>
          <w:color w:val="auto"/>
        </w:rPr>
        <w:t>Employee has had a reasonable opportunity of up to 45 days to consider this Agreement prior to signing it (and, if Employee signs it prior to the end of such 45-day period, does so of Employee’s own free choice);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20" w:lineRule="exact"/>
        <w:rPr>
          <w:sz w:val="20"/>
          <w:szCs w:val="20"/>
          <w:color w:val="auto"/>
        </w:rPr>
      </w:pPr>
    </w:p>
    <w:p>
      <w:pPr>
        <w:ind w:right="100" w:firstLine="1304"/>
        <w:spacing w:after="0" w:line="236" w:lineRule="auto"/>
        <w:tabs>
          <w:tab w:leader="none" w:pos="1946" w:val="left"/>
        </w:tabs>
        <w:numPr>
          <w:ilvl w:val="1"/>
          <w:numId w:val="22"/>
        </w:numPr>
        <w:rPr>
          <w:rFonts w:ascii="Calibri" w:cs="Calibri" w:eastAsia="Calibri" w:hAnsi="Calibri"/>
          <w:sz w:val="20"/>
          <w:szCs w:val="20"/>
          <w:color w:val="auto"/>
        </w:rPr>
      </w:pPr>
      <w:r>
        <w:rPr>
          <w:rFonts w:ascii="Calibri" w:cs="Calibri" w:eastAsia="Calibri" w:hAnsi="Calibri"/>
          <w:sz w:val="20"/>
          <w:szCs w:val="20"/>
          <w:color w:val="auto"/>
        </w:rPr>
        <w:t>Employee has been advised of Employee’s right and encouraged in writng (via this Agreement) to consult with an atorney of Employee’s choosing prior to signing this Agreement and has had a full opportunity to consult with such atorney prior to signing this Agreement; and</w:t>
      </w:r>
    </w:p>
    <w:p>
      <w:pPr>
        <w:spacing w:after="0" w:line="224" w:lineRule="exact"/>
        <w:rPr>
          <w:rFonts w:ascii="Calibri" w:cs="Calibri" w:eastAsia="Calibri" w:hAnsi="Calibri"/>
          <w:sz w:val="20"/>
          <w:szCs w:val="20"/>
          <w:color w:val="auto"/>
        </w:rPr>
      </w:pPr>
    </w:p>
    <w:p>
      <w:pPr>
        <w:ind w:right="720" w:firstLine="1304"/>
        <w:spacing w:after="0" w:line="234" w:lineRule="auto"/>
        <w:tabs>
          <w:tab w:leader="none" w:pos="1939" w:val="left"/>
        </w:tabs>
        <w:numPr>
          <w:ilvl w:val="1"/>
          <w:numId w:val="22"/>
        </w:numPr>
        <w:rPr>
          <w:rFonts w:ascii="Calibri" w:cs="Calibri" w:eastAsia="Calibri" w:hAnsi="Calibri"/>
          <w:sz w:val="20"/>
          <w:szCs w:val="20"/>
          <w:color w:val="auto"/>
        </w:rPr>
      </w:pPr>
      <w:r>
        <w:rPr>
          <w:rFonts w:ascii="Calibri" w:cs="Calibri" w:eastAsia="Calibri" w:hAnsi="Calibri"/>
          <w:sz w:val="20"/>
          <w:szCs w:val="20"/>
          <w:color w:val="auto"/>
        </w:rPr>
        <w:t>Employee is entering this Agreement knowingly and willingly, without any duress, intmidaton, or undue infuence, and without any promises other than those expressly set forth herein.</w:t>
      </w:r>
    </w:p>
    <w:p>
      <w:pPr>
        <w:spacing w:after="0" w:line="239" w:lineRule="exact"/>
        <w:rPr>
          <w:rFonts w:ascii="Calibri" w:cs="Calibri" w:eastAsia="Calibri" w:hAnsi="Calibri"/>
          <w:sz w:val="20"/>
          <w:szCs w:val="20"/>
          <w:color w:val="auto"/>
        </w:rPr>
      </w:pPr>
    </w:p>
    <w:p>
      <w:pPr>
        <w:ind w:right="60" w:firstLine="656"/>
        <w:spacing w:after="0" w:line="237" w:lineRule="auto"/>
        <w:tabs>
          <w:tab w:leader="none" w:pos="1296" w:val="left"/>
        </w:tabs>
        <w:numPr>
          <w:ilvl w:val="0"/>
          <w:numId w:val="23"/>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Efectve Date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Employee will have a period of seven (7) calendar days afer signing this Agreement to revoke Employee’s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signature on and agreement to be bound by the terms of this Agreement, by e-mailing notce of such revocaton to Edward Sample, at </w:t>
      </w:r>
      <w:r>
        <w:rPr>
          <w:rFonts w:ascii="Calibri" w:cs="Calibri" w:eastAsia="Calibri" w:hAnsi="Calibri"/>
          <w:sz w:val="20"/>
          <w:szCs w:val="20"/>
          <w:i w:val="1"/>
          <w:iCs w:val="1"/>
          <w:color w:val="auto"/>
        </w:rPr>
        <w:t>edward.sample@pagaya.com</w:t>
      </w:r>
      <w:r>
        <w:rPr>
          <w:rFonts w:ascii="Calibri" w:cs="Calibri" w:eastAsia="Calibri" w:hAnsi="Calibri"/>
          <w:sz w:val="20"/>
          <w:szCs w:val="20"/>
          <w:color w:val="auto"/>
        </w:rPr>
        <w:t>, within such seven (7) day period. This Agreement will become efectve, if not sooner revoked by</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Employee, on the eighth (8</w:t>
      </w:r>
      <w:r>
        <w:rPr>
          <w:rFonts w:ascii="Calibri" w:cs="Calibri" w:eastAsia="Calibri" w:hAnsi="Calibri"/>
          <w:sz w:val="25"/>
          <w:szCs w:val="25"/>
          <w:color w:val="auto"/>
          <w:vertAlign w:val="superscript"/>
        </w:rPr>
        <w:t>th</w:t>
      </w:r>
      <w:r>
        <w:rPr>
          <w:rFonts w:ascii="Calibri" w:cs="Calibri" w:eastAsia="Calibri" w:hAnsi="Calibri"/>
          <w:sz w:val="20"/>
          <w:szCs w:val="20"/>
          <w:color w:val="auto"/>
        </w:rPr>
        <w:t>) day afer Employee signs this Agreement (the “</w:t>
      </w:r>
      <w:r>
        <w:rPr>
          <w:rFonts w:ascii="Calibri" w:cs="Calibri" w:eastAsia="Calibri" w:hAnsi="Calibri"/>
          <w:sz w:val="20"/>
          <w:szCs w:val="20"/>
          <w:b w:val="1"/>
          <w:bCs w:val="1"/>
          <w:color w:val="auto"/>
        </w:rPr>
        <w:t>Efectve Date</w:t>
      </w:r>
      <w:r>
        <w:rPr>
          <w:rFonts w:ascii="Calibri" w:cs="Calibri" w:eastAsia="Calibri" w:hAnsi="Calibri"/>
          <w:sz w:val="20"/>
          <w:szCs w:val="20"/>
          <w:color w:val="auto"/>
        </w:rPr>
        <w:t>”).</w:t>
      </w:r>
    </w:p>
    <w:p>
      <w:pPr>
        <w:spacing w:after="0" w:line="163" w:lineRule="exact"/>
        <w:rPr>
          <w:rFonts w:ascii="Calibri" w:cs="Calibri" w:eastAsia="Calibri" w:hAnsi="Calibri"/>
          <w:sz w:val="20"/>
          <w:szCs w:val="20"/>
          <w:color w:val="auto"/>
        </w:rPr>
      </w:pPr>
    </w:p>
    <w:p>
      <w:pPr>
        <w:ind w:right="340" w:firstLine="656"/>
        <w:spacing w:after="0"/>
        <w:tabs>
          <w:tab w:leader="none" w:pos="1296" w:val="left"/>
        </w:tabs>
        <w:numPr>
          <w:ilvl w:val="0"/>
          <w:numId w:val="23"/>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Counterparts; Electronic Signature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This Agreement may be executed in counterparts and will be as fully binding as if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signed in one entre document. This Agreement may be signed by electronic signature and such signatures shall be valid and binding upon the Partes.</w:t>
      </w:r>
    </w:p>
    <w:p>
      <w:pPr>
        <w:spacing w:after="0" w:line="226" w:lineRule="exact"/>
        <w:rPr>
          <w:sz w:val="20"/>
          <w:szCs w:val="20"/>
          <w:color w:val="auto"/>
        </w:rPr>
      </w:pPr>
    </w:p>
    <w:p>
      <w:pPr>
        <w:jc w:val="both"/>
        <w:ind w:firstLine="855"/>
        <w:spacing w:after="0" w:line="233" w:lineRule="auto"/>
        <w:rPr>
          <w:sz w:val="20"/>
          <w:szCs w:val="20"/>
          <w:color w:val="auto"/>
        </w:rPr>
      </w:pPr>
      <w:r>
        <w:rPr>
          <w:rFonts w:ascii="Calibri" w:cs="Calibri" w:eastAsia="Calibri" w:hAnsi="Calibri"/>
          <w:sz w:val="20"/>
          <w:szCs w:val="20"/>
          <w:b w:val="1"/>
          <w:bCs w:val="1"/>
          <w:color w:val="auto"/>
        </w:rPr>
        <w:t>HAVING ELECTED TO EXECUTE THIS AGREEMENT, TO FULFILL THE PROMISES AND TO RECEIVE THE SEVERANCE BENEFITS AS SET FORTH IN SECTION 1 ABOVE, EMPLOYEE FREELY AND KNOWINGLY, AND AFTER DUE CONSIDERATION, ENTERS INTO THIS AGREEMENT INTENDING TO WAIVE, SETTLE AND RELEASE ALL CLAIMS EMPLOYEE HAS OR MIGHT HAVE AGAINST THE COMPANY AND THE RELEASED PARTIES AS OF THE DATE OF EXECUTION OF THIS AGREEMENT AND TO RE-AFFIRM THE CONFIDENTIALITY, NON-COMPETITION, NON-SOLICITATION AND NON-DISPARAGEMENT TERMS AS SET FORTH IN EMPLOYEE’S COVENANT AGREEMENT WITH THE COMPANY.</w:t>
      </w:r>
    </w:p>
    <w:p>
      <w:pPr>
        <w:spacing w:after="0" w:line="20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20" w:lineRule="exact"/>
        <w:rPr>
          <w:sz w:val="20"/>
          <w:szCs w:val="20"/>
          <w:color w:val="auto"/>
        </w:rPr>
      </w:pPr>
    </w:p>
    <w:p>
      <w:pPr>
        <w:ind w:firstLine="648"/>
        <w:spacing w:after="0" w:line="228" w:lineRule="auto"/>
        <w:rPr>
          <w:sz w:val="20"/>
          <w:szCs w:val="20"/>
          <w:color w:val="auto"/>
        </w:rPr>
      </w:pPr>
      <w:r>
        <w:rPr>
          <w:rFonts w:ascii="Calibri" w:cs="Calibri" w:eastAsia="Calibri" w:hAnsi="Calibri"/>
          <w:sz w:val="20"/>
          <w:szCs w:val="20"/>
          <w:b w:val="1"/>
          <w:bCs w:val="1"/>
          <w:color w:val="auto"/>
        </w:rPr>
        <w:t>IN WITNESS WHEREOF</w:t>
      </w:r>
      <w:r>
        <w:rPr>
          <w:rFonts w:ascii="Calibri" w:cs="Calibri" w:eastAsia="Calibri" w:hAnsi="Calibri"/>
          <w:sz w:val="20"/>
          <w:szCs w:val="20"/>
          <w:color w:val="auto"/>
        </w:rPr>
        <w:t>, the Partes have executed this Agreement voluntarily and of their own free will and deed, afer due tme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to review and consider it, and without any duress or coercion, as follows.</w:t>
      </w:r>
    </w:p>
    <w:p>
      <w:pPr>
        <w:spacing w:after="0" w:line="200" w:lineRule="exact"/>
        <w:rPr>
          <w:sz w:val="20"/>
          <w:szCs w:val="20"/>
          <w:color w:val="auto"/>
        </w:rPr>
      </w:pPr>
    </w:p>
    <w:p>
      <w:pPr>
        <w:spacing w:after="0" w:line="312" w:lineRule="exact"/>
        <w:rPr>
          <w:sz w:val="20"/>
          <w:szCs w:val="20"/>
          <w:color w:val="auto"/>
        </w:rPr>
      </w:pPr>
    </w:p>
    <w:p>
      <w:pPr>
        <w:ind w:left="5680"/>
        <w:spacing w:after="0"/>
        <w:rPr>
          <w:sz w:val="20"/>
          <w:szCs w:val="20"/>
          <w:color w:val="auto"/>
        </w:rPr>
      </w:pPr>
      <w:r>
        <w:rPr>
          <w:rFonts w:ascii="Calibri" w:cs="Calibri" w:eastAsia="Calibri" w:hAnsi="Calibri"/>
          <w:sz w:val="20"/>
          <w:szCs w:val="20"/>
          <w:color w:val="auto"/>
        </w:rPr>
        <w:t>PAGAYA TECHNOLOGIES US LLC</w:t>
      </w:r>
    </w:p>
    <w:p>
      <w:pPr>
        <w:spacing w:after="0" w:line="200" w:lineRule="exact"/>
        <w:rPr>
          <w:sz w:val="20"/>
          <w:szCs w:val="20"/>
          <w:color w:val="auto"/>
        </w:rPr>
      </w:pPr>
    </w:p>
    <w:p>
      <w:pPr>
        <w:spacing w:after="0" w:line="312" w:lineRule="exact"/>
        <w:rPr>
          <w:sz w:val="20"/>
          <w:szCs w:val="20"/>
          <w:color w:val="auto"/>
        </w:rPr>
      </w:pPr>
    </w:p>
    <w:p>
      <w:pPr>
        <w:ind w:left="5680"/>
        <w:spacing w:after="0"/>
        <w:rPr>
          <w:sz w:val="20"/>
          <w:szCs w:val="20"/>
          <w:color w:val="auto"/>
        </w:rPr>
      </w:pPr>
      <w:r>
        <w:rPr>
          <w:rFonts w:ascii="Calibri" w:cs="Calibri" w:eastAsia="Calibri" w:hAnsi="Calibri"/>
          <w:sz w:val="20"/>
          <w:szCs w:val="20"/>
          <w:color w:val="auto"/>
        </w:rPr>
        <w:t>By: /s/ Tami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-21590</wp:posOffset>
            </wp:positionV>
            <wp:extent cx="8851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885190" cy="8890"/>
                    </a:xfrm>
                    <a:prstGeom prst="rect">
                      <a:avLst/>
                    </a:prstGeom>
                    <a:noFill/>
                  </pic:spPr>
                </pic:pic>
              </a:graphicData>
            </a:graphic>
          </wp:anchor>
        </w:drawing>
      </w:r>
    </w:p>
    <w:p>
      <w:pPr>
        <w:spacing w:after="0" w:line="73" w:lineRule="exact"/>
        <w:rPr>
          <w:sz w:val="20"/>
          <w:szCs w:val="20"/>
          <w:color w:val="auto"/>
        </w:rPr>
      </w:pPr>
    </w:p>
    <w:p>
      <w:pPr>
        <w:ind w:left="5680"/>
        <w:spacing w:after="0"/>
        <w:rPr>
          <w:sz w:val="20"/>
          <w:szCs w:val="20"/>
          <w:color w:val="auto"/>
        </w:rPr>
      </w:pPr>
      <w:r>
        <w:rPr>
          <w:rFonts w:ascii="Calibri" w:cs="Calibri" w:eastAsia="Calibri" w:hAnsi="Calibri"/>
          <w:sz w:val="20"/>
          <w:szCs w:val="20"/>
          <w:color w:val="auto"/>
        </w:rPr>
        <w:t>Name: Tami Rosen</w:t>
      </w:r>
    </w:p>
    <w:p>
      <w:pPr>
        <w:spacing w:after="0" w:line="107" w:lineRule="exact"/>
        <w:rPr>
          <w:sz w:val="20"/>
          <w:szCs w:val="20"/>
          <w:color w:val="auto"/>
        </w:rPr>
      </w:pPr>
    </w:p>
    <w:p>
      <w:pPr>
        <w:ind w:left="5680"/>
        <w:spacing w:after="0"/>
        <w:rPr>
          <w:sz w:val="20"/>
          <w:szCs w:val="20"/>
          <w:color w:val="auto"/>
        </w:rPr>
      </w:pPr>
      <w:r>
        <w:rPr>
          <w:rFonts w:ascii="Calibri" w:cs="Calibri" w:eastAsia="Calibri" w:hAnsi="Calibri"/>
          <w:sz w:val="20"/>
          <w:szCs w:val="20"/>
          <w:color w:val="auto"/>
        </w:rPr>
        <w:t>Title: Chief Development Ofcer</w:t>
      </w:r>
    </w:p>
    <w:p>
      <w:pPr>
        <w:spacing w:after="0" w:line="107" w:lineRule="exact"/>
        <w:rPr>
          <w:sz w:val="20"/>
          <w:szCs w:val="20"/>
          <w:color w:val="auto"/>
        </w:rPr>
      </w:pPr>
    </w:p>
    <w:p>
      <w:pPr>
        <w:ind w:left="5680"/>
        <w:spacing w:after="0"/>
        <w:rPr>
          <w:sz w:val="20"/>
          <w:szCs w:val="20"/>
          <w:color w:val="auto"/>
        </w:rPr>
      </w:pPr>
      <w:r>
        <w:rPr>
          <w:rFonts w:ascii="Calibri" w:cs="Calibri" w:eastAsia="Calibri" w:hAnsi="Calibri"/>
          <w:sz w:val="20"/>
          <w:szCs w:val="20"/>
          <w:color w:val="auto"/>
        </w:rPr>
        <w:t xml:space="preserve">Date: __ </w:t>
      </w:r>
      <w:r>
        <w:rPr>
          <w:rFonts w:ascii="Calibri" w:cs="Calibri" w:eastAsia="Calibri" w:hAnsi="Calibri"/>
          <w:sz w:val="20"/>
          <w:szCs w:val="20"/>
          <w:u w:val="single" w:color="auto"/>
          <w:color w:val="auto"/>
        </w:rPr>
        <w:t>August 8, 2024</w:t>
      </w:r>
      <w:r>
        <w:rPr>
          <w:rFonts w:ascii="Calibri" w:cs="Calibri" w:eastAsia="Calibri" w:hAnsi="Calibri"/>
          <w:sz w:val="20"/>
          <w:szCs w:val="20"/>
          <w:color w:val="auto"/>
        </w:rPr>
        <w:t>______________</w:t>
      </w: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Calibri" w:cs="Calibri" w:eastAsia="Calibri" w:hAnsi="Calibri"/>
          <w:sz w:val="20"/>
          <w:szCs w:val="20"/>
          <w:color w:val="auto"/>
        </w:rPr>
        <w:t>EMPLOYEE</w:t>
      </w:r>
    </w:p>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Calibri" w:cs="Calibri" w:eastAsia="Calibri" w:hAnsi="Calibri"/>
          <w:sz w:val="20"/>
          <w:szCs w:val="20"/>
          <w:color w:val="auto"/>
        </w:rPr>
        <w:t>Signature: /s/ Amol Naik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-21590</wp:posOffset>
            </wp:positionV>
            <wp:extent cx="8286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828675" cy="8255"/>
                    </a:xfrm>
                    <a:prstGeom prst="rect">
                      <a:avLst/>
                    </a:prstGeom>
                    <a:noFill/>
                  </pic:spPr>
                </pic:pic>
              </a:graphicData>
            </a:graphic>
          </wp:anchor>
        </w:drawing>
      </w:r>
    </w:p>
    <w:p>
      <w:pPr>
        <w:spacing w:after="0" w:line="73" w:lineRule="exact"/>
        <w:rPr>
          <w:sz w:val="20"/>
          <w:szCs w:val="20"/>
          <w:color w:val="auto"/>
        </w:rPr>
      </w:pPr>
    </w:p>
    <w:p>
      <w:pPr>
        <w:ind w:left="60"/>
        <w:spacing w:after="0"/>
        <w:rPr>
          <w:sz w:val="20"/>
          <w:szCs w:val="20"/>
          <w:color w:val="auto"/>
        </w:rPr>
      </w:pPr>
      <w:r>
        <w:rPr>
          <w:rFonts w:ascii="Calibri" w:cs="Calibri" w:eastAsia="Calibri" w:hAnsi="Calibri"/>
          <w:sz w:val="20"/>
          <w:szCs w:val="20"/>
          <w:color w:val="auto"/>
        </w:rPr>
        <w:t>Print Name: Amol Naik</w:t>
      </w:r>
    </w:p>
    <w:p>
      <w:pPr>
        <w:spacing w:after="0" w:line="107" w:lineRule="exact"/>
        <w:rPr>
          <w:sz w:val="20"/>
          <w:szCs w:val="20"/>
          <w:color w:val="auto"/>
        </w:rPr>
      </w:pPr>
    </w:p>
    <w:p>
      <w:pPr>
        <w:ind w:left="60"/>
        <w:spacing w:after="0"/>
        <w:rPr>
          <w:sz w:val="20"/>
          <w:szCs w:val="20"/>
          <w:color w:val="auto"/>
        </w:rPr>
      </w:pPr>
      <w:r>
        <w:rPr>
          <w:rFonts w:ascii="Calibri" w:cs="Calibri" w:eastAsia="Calibri" w:hAnsi="Calibri"/>
          <w:sz w:val="20"/>
          <w:szCs w:val="20"/>
          <w:color w:val="auto"/>
        </w:rPr>
        <w:t>Date: _</w:t>
      </w:r>
      <w:r>
        <w:rPr>
          <w:rFonts w:ascii="Calibri" w:cs="Calibri" w:eastAsia="Calibri" w:hAnsi="Calibri"/>
          <w:sz w:val="20"/>
          <w:szCs w:val="20"/>
          <w:u w:val="single" w:color="auto"/>
          <w:color w:val="auto"/>
        </w:rPr>
        <w:t>August 8, 2024</w:t>
      </w:r>
      <w:r>
        <w:rPr>
          <w:rFonts w:ascii="Calibri" w:cs="Calibri" w:eastAsia="Calibri" w:hAnsi="Calibri"/>
          <w:sz w:val="20"/>
          <w:szCs w:val="20"/>
          <w:color w:val="auto"/>
        </w:rPr>
        <w:t>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1220"/>
          </w:cols>
          <w:pgMar w:left="320" w:top="1440" w:right="35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Gal Krubiner, certify that:</w:t>
      </w:r>
    </w:p>
    <w:p>
      <w:pPr>
        <w:spacing w:after="0" w:line="248"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Pagaya Technologies Ltd.;</w:t>
      </w:r>
    </w:p>
    <w:p>
      <w:pPr>
        <w:spacing w:after="0" w:line="261" w:lineRule="exact"/>
        <w:rPr>
          <w:rFonts w:ascii="Times New Roman" w:cs="Times New Roman" w:eastAsia="Times New Roman" w:hAnsi="Times New Roman"/>
          <w:sz w:val="16"/>
          <w:szCs w:val="16"/>
          <w:color w:val="auto"/>
        </w:rPr>
      </w:pPr>
    </w:p>
    <w:p>
      <w:pPr>
        <w:ind w:right="20" w:firstLine="8"/>
        <w:spacing w:after="0" w:line="280" w:lineRule="auto"/>
        <w:tabs>
          <w:tab w:leader="none" w:pos="17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6"/>
          <w:szCs w:val="16"/>
          <w:color w:val="auto"/>
        </w:rPr>
      </w:pPr>
    </w:p>
    <w:p>
      <w:pPr>
        <w:ind w:firstLine="8"/>
        <w:spacing w:after="0" w:line="267" w:lineRule="auto"/>
        <w:tabs>
          <w:tab w:leader="none" w:pos="175"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ind w:right="20" w:firstLine="8"/>
        <w:spacing w:after="0" w:line="275" w:lineRule="auto"/>
        <w:tabs>
          <w:tab w:leader="none" w:pos="16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94" w:lineRule="exact"/>
        <w:rPr>
          <w:rFonts w:ascii="Times New Roman" w:cs="Times New Roman" w:eastAsia="Times New Roman" w:hAnsi="Times New Roman"/>
          <w:sz w:val="16"/>
          <w:szCs w:val="16"/>
          <w:color w:val="auto"/>
        </w:rPr>
      </w:pPr>
    </w:p>
    <w:p>
      <w:pPr>
        <w:jc w:val="both"/>
        <w:ind w:left="660" w:hanging="4"/>
        <w:spacing w:after="0" w:line="260" w:lineRule="auto"/>
        <w:tabs>
          <w:tab w:leader="none" w:pos="899"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jc w:val="both"/>
        <w:ind w:left="660" w:right="20" w:hanging="4"/>
        <w:spacing w:after="0" w:line="260" w:lineRule="auto"/>
        <w:tabs>
          <w:tab w:leader="none" w:pos="913"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Times New Roman" w:cs="Times New Roman" w:eastAsia="Times New Roman" w:hAnsi="Times New Roman"/>
          <w:sz w:val="16"/>
          <w:szCs w:val="16"/>
          <w:color w:val="auto"/>
        </w:rPr>
      </w:pPr>
    </w:p>
    <w:p>
      <w:pPr>
        <w:ind w:left="660" w:hanging="4"/>
        <w:spacing w:after="0" w:line="298" w:lineRule="auto"/>
        <w:tabs>
          <w:tab w:leader="none" w:pos="896"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660" w:hanging="4"/>
        <w:spacing w:after="0" w:line="280" w:lineRule="auto"/>
        <w:tabs>
          <w:tab w:leader="none" w:pos="893"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5" w:lineRule="exact"/>
        <w:rPr>
          <w:rFonts w:ascii="Times New Roman" w:cs="Times New Roman" w:eastAsia="Times New Roman" w:hAnsi="Times New Roman"/>
          <w:sz w:val="16"/>
          <w:szCs w:val="16"/>
          <w:color w:val="auto"/>
        </w:rPr>
      </w:pPr>
    </w:p>
    <w:p>
      <w:pPr>
        <w:ind w:firstLine="8"/>
        <w:spacing w:after="0" w:line="280" w:lineRule="auto"/>
        <w:tabs>
          <w:tab w:leader="none" w:pos="17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660" w:hanging="4"/>
        <w:spacing w:after="0" w:line="280" w:lineRule="auto"/>
        <w:tabs>
          <w:tab w:leader="none" w:pos="903"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660" w:right="20" w:hanging="4"/>
        <w:spacing w:after="0" w:line="298" w:lineRule="auto"/>
        <w:tabs>
          <w:tab w:leader="none" w:pos="894"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218"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August 9,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Gal Krubiner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Gal Krubiner</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240"/>
          </w:cols>
          <w:pgMar w:left="320" w:top="1420"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Evangelos Perros, certify that:</w:t>
      </w:r>
    </w:p>
    <w:p>
      <w:pPr>
        <w:spacing w:after="0" w:line="23"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Pagaya Technologies Ltd.;</w:t>
      </w:r>
    </w:p>
    <w:p>
      <w:pPr>
        <w:spacing w:after="0" w:line="243" w:lineRule="exact"/>
        <w:rPr>
          <w:rFonts w:ascii="Times New Roman" w:cs="Times New Roman" w:eastAsia="Times New Roman" w:hAnsi="Times New Roman"/>
          <w:sz w:val="16"/>
          <w:szCs w:val="16"/>
          <w:color w:val="auto"/>
        </w:rPr>
      </w:pPr>
    </w:p>
    <w:p>
      <w:pPr>
        <w:ind w:right="20" w:firstLine="8"/>
        <w:spacing w:after="0" w:line="280" w:lineRule="auto"/>
        <w:tabs>
          <w:tab w:leader="none" w:pos="17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6"/>
          <w:szCs w:val="16"/>
          <w:color w:val="auto"/>
        </w:rPr>
      </w:pPr>
    </w:p>
    <w:p>
      <w:pPr>
        <w:ind w:firstLine="8"/>
        <w:spacing w:after="0" w:line="267" w:lineRule="auto"/>
        <w:tabs>
          <w:tab w:leader="none" w:pos="17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ind w:right="20" w:firstLine="8"/>
        <w:spacing w:after="0" w:line="275" w:lineRule="auto"/>
        <w:tabs>
          <w:tab w:leader="none" w:pos="16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94" w:lineRule="exact"/>
        <w:rPr>
          <w:rFonts w:ascii="Times New Roman" w:cs="Times New Roman" w:eastAsia="Times New Roman" w:hAnsi="Times New Roman"/>
          <w:sz w:val="16"/>
          <w:szCs w:val="16"/>
          <w:color w:val="auto"/>
        </w:rPr>
      </w:pPr>
    </w:p>
    <w:p>
      <w:pPr>
        <w:jc w:val="both"/>
        <w:ind w:left="660" w:hanging="4"/>
        <w:spacing w:after="0" w:line="260" w:lineRule="auto"/>
        <w:tabs>
          <w:tab w:leader="none" w:pos="899"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jc w:val="both"/>
        <w:ind w:left="660" w:right="20" w:hanging="4"/>
        <w:spacing w:after="0" w:line="260" w:lineRule="auto"/>
        <w:tabs>
          <w:tab w:leader="none" w:pos="913"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Times New Roman" w:cs="Times New Roman" w:eastAsia="Times New Roman" w:hAnsi="Times New Roman"/>
          <w:sz w:val="16"/>
          <w:szCs w:val="16"/>
          <w:color w:val="auto"/>
        </w:rPr>
      </w:pPr>
    </w:p>
    <w:p>
      <w:pPr>
        <w:ind w:left="660" w:hanging="4"/>
        <w:spacing w:after="0" w:line="298" w:lineRule="auto"/>
        <w:tabs>
          <w:tab w:leader="none" w:pos="896"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660" w:hanging="4"/>
        <w:spacing w:after="0" w:line="280" w:lineRule="auto"/>
        <w:tabs>
          <w:tab w:leader="none" w:pos="893"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5" w:lineRule="exact"/>
        <w:rPr>
          <w:rFonts w:ascii="Times New Roman" w:cs="Times New Roman" w:eastAsia="Times New Roman" w:hAnsi="Times New Roman"/>
          <w:sz w:val="16"/>
          <w:szCs w:val="16"/>
          <w:color w:val="auto"/>
        </w:rPr>
      </w:pPr>
    </w:p>
    <w:p>
      <w:pPr>
        <w:ind w:firstLine="8"/>
        <w:spacing w:after="0" w:line="280" w:lineRule="auto"/>
        <w:tabs>
          <w:tab w:leader="none" w:pos="17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660" w:hanging="4"/>
        <w:spacing w:after="0" w:line="280" w:lineRule="auto"/>
        <w:tabs>
          <w:tab w:leader="none" w:pos="903"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660" w:right="20" w:hanging="4"/>
        <w:spacing w:after="0" w:line="298" w:lineRule="auto"/>
        <w:tabs>
          <w:tab w:leader="none" w:pos="894"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218"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August 9, 2024</w:t>
      </w:r>
      <w:r>
        <w:rPr>
          <w:sz w:val="20"/>
          <w:szCs w:val="20"/>
          <w:color w:val="auto"/>
        </w:rPr>
        <w:tab/>
      </w:r>
      <w:r>
        <w:rPr>
          <w:rFonts w:ascii="Times New Roman" w:cs="Times New Roman" w:eastAsia="Times New Roman" w:hAnsi="Times New Roman"/>
          <w:sz w:val="16"/>
          <w:szCs w:val="16"/>
          <w:color w:val="auto"/>
        </w:rPr>
        <w:t>By:</w:t>
        <w:tab/>
        <w:t>/s/ Evangelos Perros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Evangelos Perros</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240"/>
          </w:cols>
          <w:pgMar w:left="320" w:top="142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Gal Krubiner, Chief Executive Officer of Pagaya Technologies Ltd. (the “Company”), hereby certifies that, to the best of his knowledge:</w:t>
      </w:r>
    </w:p>
    <w:p>
      <w:pPr>
        <w:spacing w:after="0" w:line="198" w:lineRule="exact"/>
        <w:rPr>
          <w:sz w:val="20"/>
          <w:szCs w:val="20"/>
          <w:color w:val="auto"/>
        </w:rPr>
      </w:pPr>
    </w:p>
    <w:p>
      <w:pPr>
        <w:ind w:right="20" w:firstLine="8"/>
        <w:spacing w:after="0" w:line="280" w:lineRule="auto"/>
        <w:tabs>
          <w:tab w:leader="none" w:pos="168"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quarterly report on Form 10-Q for the quarter ended June 30, 2024, to which this Certification is attached as Exhibit 32.1 (the “Report”), fully complies with the requirements of Section 13(a) or Section 15(d) of the Exchange Act; and</w:t>
      </w:r>
    </w:p>
    <w:p>
      <w:pPr>
        <w:spacing w:after="0" w:line="205"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46"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August 9,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Gal Krubiner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Gal Krubiner</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240"/>
          </w:cols>
          <w:pgMar w:left="320" w:top="142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Evangelos Perros, Chief Financial Officer of Pagaya Technologies Ltd. (the “Company”), hereby certifies that, to the best of his knowledge:</w:t>
      </w:r>
    </w:p>
    <w:p>
      <w:pPr>
        <w:spacing w:after="0" w:line="198" w:lineRule="exact"/>
        <w:rPr>
          <w:sz w:val="20"/>
          <w:szCs w:val="20"/>
          <w:color w:val="auto"/>
        </w:rPr>
      </w:pPr>
    </w:p>
    <w:p>
      <w:pPr>
        <w:ind w:right="20" w:firstLine="8"/>
        <w:spacing w:after="0" w:line="280" w:lineRule="auto"/>
        <w:tabs>
          <w:tab w:leader="none" w:pos="16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quarterly report on Form 10-Q for the quarter ended June 30, 2024, to which this Certification is attached as Exhibit 32.2 (the “Report”), fully complies with the requirements of Section 13(a) or Section 15(d) of the Exchange Act; and</w:t>
      </w:r>
    </w:p>
    <w:p>
      <w:pPr>
        <w:spacing w:after="0" w:line="205"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46"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August 9, 2024</w:t>
      </w:r>
      <w:r>
        <w:rPr>
          <w:sz w:val="20"/>
          <w:szCs w:val="20"/>
          <w:color w:val="auto"/>
        </w:rPr>
        <w:tab/>
      </w:r>
      <w:r>
        <w:rPr>
          <w:rFonts w:ascii="Times New Roman" w:cs="Times New Roman" w:eastAsia="Times New Roman" w:hAnsi="Times New Roman"/>
          <w:sz w:val="16"/>
          <w:szCs w:val="16"/>
          <w:color w:val="auto"/>
        </w:rPr>
        <w:t>By:</w:t>
        <w:tab/>
        <w:t>/s/ Evangelos Perros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Evangelos Perros</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bullet"/>
      <w:start w:val="1"/>
    </w:lvl>
  </w:abstractNum>
  <w:abstractNum w:abstractNumId="8">
    <w:nsid w:val="431BD7B7"/>
    <w:multiLevelType w:val="hybridMultilevel"/>
    <w:lvl w:ilvl="0">
      <w:lvlJc w:val="left"/>
      <w:lvlText w:val="(%1)"/>
      <w:numFmt w:val="decimal"/>
      <w:start w:val="2"/>
    </w:lvl>
  </w:abstractNum>
  <w:abstractNum w:abstractNumId="9">
    <w:nsid w:val="3F2DBA31"/>
    <w:multiLevelType w:val="hybridMultilevel"/>
    <w:lvl w:ilvl="0">
      <w:lvlJc w:val="left"/>
      <w:lvlText w:val="2"/>
      <w:numFmt w:val="bullet"/>
      <w:start w:val="1"/>
    </w:lvl>
  </w:abstractNum>
  <w:abstractNum w:abstractNumId="10">
    <w:nsid w:val="7C83E458"/>
    <w:multiLevelType w:val="hybridMultilevel"/>
    <w:lvl w:ilvl="0">
      <w:lvlJc w:val="left"/>
      <w:lvlText w:val="*"/>
      <w:numFmt w:val="bullet"/>
      <w:start w:val="1"/>
    </w:lvl>
    <w:lvl w:ilvl="1">
      <w:lvlJc w:val="left"/>
      <w:lvlText w:val="%2"/>
      <w:numFmt w:val="decimal"/>
      <w:start w:val="104"/>
    </w:lvl>
  </w:abstractNum>
  <w:abstractNum w:abstractNumId="11">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
    <w:nsid w:val="62BBD95A"/>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3">
    <w:nsid w:val="436C6125"/>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14">
    <w:nsid w:val="628C895D"/>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15">
    <w:nsid w:val="333AB105"/>
    <w:multiLevelType w:val="hybridMultilevel"/>
    <w:lvl w:ilvl="0">
      <w:lvlJc w:val="left"/>
      <w:lvlText w:val="%1."/>
      <w:numFmt w:val="decimal"/>
      <w:start w:val="3"/>
    </w:lvl>
    <w:lvl w:ilvl="1">
      <w:lvlJc w:val="left"/>
      <w:lvlText w:val="%2."/>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decimal"/>
      <w:start w:val="5"/>
    </w:lvl>
    <w:lvl w:ilvl="1">
      <w:lvlJc w:val="left"/>
      <w:lvlText w:val="%2"/>
      <w:numFmt w:val="lowerLetter"/>
      <w:start w:val="1"/>
    </w:lvl>
  </w:abstractNum>
  <w:abstractNum w:abstractNumId="18">
    <w:nsid w:val="2D1D5AE9"/>
    <w:multiLevelType w:val="hybridMultilevel"/>
    <w:lvl w:ilvl="0">
      <w:lvlJc w:val="left"/>
      <w:lvlText w:val="%1"/>
      <w:numFmt w:val="decimal"/>
      <w:start w:val="1"/>
    </w:lvl>
    <w:lvl w:ilvl="1">
      <w:lvlJc w:val="left"/>
      <w:lvlText w:val="%2."/>
      <w:numFmt w:val="lowerLetter"/>
      <w:start w:val="2"/>
    </w:lvl>
  </w:abstractNum>
  <w:abstractNum w:abstractNumId="19">
    <w:nsid w:val="6763845E"/>
    <w:multiLevelType w:val="hybridMultilevel"/>
    <w:lvl w:ilvl="0">
      <w:lvlJc w:val="left"/>
      <w:lvlText w:val="%1."/>
      <w:numFmt w:val="decimal"/>
      <w:start w:val="7"/>
    </w:lvl>
    <w:lvl w:ilvl="1">
      <w:lvlJc w:val="left"/>
      <w:lvlText w:val="%2"/>
      <w:numFmt w:val="lowerLetter"/>
      <w:start w:val="1"/>
    </w:lvl>
  </w:abstractNum>
  <w:abstractNum w:abstractNumId="20">
    <w:nsid w:val="75A2A8D4"/>
    <w:multiLevelType w:val="hybridMultilevel"/>
    <w:lvl w:ilvl="0">
      <w:lvlJc w:val="left"/>
      <w:lvlText w:val="%1."/>
      <w:numFmt w:val="decimal"/>
      <w:start w:val="11"/>
    </w:lvl>
    <w:lvl w:ilvl="1">
      <w:lvlJc w:val="left"/>
      <w:lvlText w:val="%2."/>
      <w:numFmt w:val="lowerLetter"/>
      <w:start w:val="1"/>
    </w:lvl>
  </w:abstractNum>
  <w:abstractNum w:abstractNumId="21">
    <w:nsid w:val="8EDBDAB"/>
    <w:multiLevelType w:val="hybridMultilevel"/>
    <w:lvl w:ilvl="0">
      <w:lvlJc w:val="left"/>
      <w:lvlText w:val="%1"/>
      <w:numFmt w:val="decimal"/>
      <w:start w:val="1"/>
    </w:lvl>
    <w:lvl w:ilvl="1">
      <w:lvlJc w:val="left"/>
      <w:lvlText w:val="%2."/>
      <w:numFmt w:val="lowerLetter"/>
      <w:start w:val="3"/>
    </w:lvl>
  </w:abstractNum>
  <w:abstractNum w:abstractNumId="22">
    <w:nsid w:val="79838CB2"/>
    <w:multiLevelType w:val="hybridMultilevel"/>
    <w:lvl w:ilvl="0">
      <w:lvlJc w:val="left"/>
      <w:lvlText w:val="%1."/>
      <w:numFmt w:val="decimal"/>
      <w:start w:val="17"/>
    </w:lvl>
    <w:lvl w:ilvl="1">
      <w:lvlJc w:val="left"/>
      <w:lvlText w:val="%2"/>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87" Type="http://schemas.openxmlformats.org/officeDocument/2006/relationships/hyperlink" Target="https://www.sec.gov/Archives/edgar/data/1883085/000188308524000009/a9116115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2024-08-09T15:15:54Z</dcterms:created>
  <dcterms:modified xsi:type="dcterms:W3CDTF">2024-08-09T15:15:54Z</dcterms:modified>
</cp:coreProperties>
</file>