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CURRENT REPORT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Section 13 or 15(d) </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 xml:space="preserve">of the Securities Exchange Act of 1934 </w:t>
      </w:r>
    </w:p>
    <w:p>
      <w:pPr>
        <w:pStyle w:val="TextBody"/>
        <w:bidi w:val="0"/>
        <w:spacing w:before="0" w:after="0"/>
        <w:jc w:val="left"/>
        <w:rPr/>
      </w:pPr>
      <w:r>
        <w:rPr/>
      </w:r>
    </w:p>
    <w:p>
      <w:pPr>
        <w:pStyle w:val="TextBody"/>
        <w:bidi w:val="0"/>
        <w:spacing w:lineRule="auto" w:line="268" w:before="0" w:after="0"/>
        <w:jc w:val="center"/>
        <w:rPr/>
      </w:pPr>
      <w:r>
        <w:rPr>
          <w:rFonts w:ascii="Times New Roman;serif" w:hAnsi="Times New Roman;serif"/>
          <w:b/>
          <w:color w:val="000000"/>
          <w:sz w:val="20"/>
        </w:rPr>
        <w:t xml:space="preserve">Date of report (Date of earliest event reported): </w:t>
      </w:r>
      <w:r>
        <w:rPr>
          <w:rFonts w:ascii="Times New Roman;serif" w:hAnsi="Times New Roman;serif"/>
          <w:b w:val="false"/>
          <w:color w:val="000000"/>
          <w:sz w:val="20"/>
        </w:rPr>
        <w:t>August 17, 2026</w:t>
      </w:r>
    </w:p>
    <w:p>
      <w:pPr>
        <w:pStyle w:val="TextBody"/>
        <w:bidi w:val="0"/>
        <w:spacing w:before="0" w:after="0"/>
        <w:jc w:val="left"/>
        <w:rPr/>
      </w:pPr>
      <w:r>
        <w:rPr/>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Commission File Number: 001-41430</w:t>
      </w: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Pagaya Technologies Ltd.</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9948" w:type="dxa"/>
        <w:jc w:val="left"/>
        <w:tblInd w:w="0" w:type="dxa"/>
        <w:tblLayout w:type="fixed"/>
        <w:tblCellMar>
          <w:top w:w="28" w:type="dxa"/>
          <w:left w:w="28" w:type="dxa"/>
          <w:bottom w:w="28" w:type="dxa"/>
          <w:right w:w="28" w:type="dxa"/>
        </w:tblCellMar>
      </w:tblPr>
      <w:tblGrid>
        <w:gridCol w:w="617"/>
        <w:gridCol w:w="540"/>
        <w:gridCol w:w="540"/>
        <w:gridCol w:w="540"/>
        <w:gridCol w:w="540"/>
        <w:gridCol w:w="540"/>
        <w:gridCol w:w="540"/>
        <w:gridCol w:w="540"/>
        <w:gridCol w:w="56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319"/>
        <w:gridCol w:w="319"/>
        <w:gridCol w:w="319"/>
        <w:gridCol w:w="319"/>
        <w:gridCol w:w="319"/>
        <w:gridCol w:w="319"/>
        <w:gridCol w:w="319"/>
        <w:gridCol w:w="319"/>
        <w:gridCol w:w="473"/>
      </w:tblGrid>
      <w:tr>
        <w:trPr/>
        <w:tc>
          <w:tcPr>
            <w:tcW w:w="617"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16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Israel</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98-1704718</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 incorporation or organization)</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594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6"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335 Madison Ave, 16th Floor</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New York, New York</w:t>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10017</w:t>
            </w:r>
          </w:p>
        </w:tc>
      </w:tr>
      <w:tr>
        <w:trPr/>
        <w:tc>
          <w:tcPr>
            <w:tcW w:w="49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962" w:type="dxa"/>
            <w:gridSpan w:val="18"/>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(646) 710-7714</w:t>
      </w:r>
    </w:p>
    <w:p>
      <w:pPr>
        <w:pStyle w:val="TextBody"/>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 A.2. below):</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Written communication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xml:space="preserve">☐ </w:t>
      </w:r>
      <w:r>
        <w:rPr>
          <w:rFonts w:ascii="Times New Roman;serif" w:hAnsi="Times New Roman;serif"/>
          <w:b w:val="false"/>
          <w:color w:val="000000"/>
          <w:sz w:val="18"/>
        </w:rPr>
        <w:t>Pre-commencement communication pursuant to Rule 13e-4(c) under the Exchange Act (17 CFR 240.13e-4(c))</w:t>
      </w:r>
    </w:p>
    <w:p>
      <w:pPr>
        <w:pStyle w:val="TextBody"/>
        <w:bidi w:val="0"/>
        <w:spacing w:before="0" w:after="0"/>
        <w:jc w:val="center"/>
        <w:rPr/>
      </w:pPr>
      <w:r>
        <w:rPr/>
      </w:r>
    </w:p>
    <w:p>
      <w:pPr>
        <w:pStyle w:val="TextBody"/>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Securities registered pursuant to Section 12(b) of the Act: </w:t>
      </w:r>
    </w:p>
    <w:tbl>
      <w:tblPr>
        <w:tblW w:w="9141" w:type="dxa"/>
        <w:jc w:val="left"/>
        <w:tblInd w:w="0" w:type="dxa"/>
        <w:tblLayout w:type="fixed"/>
        <w:tblCellMar>
          <w:top w:w="28" w:type="dxa"/>
          <w:left w:w="28" w:type="dxa"/>
          <w:bottom w:w="28" w:type="dxa"/>
          <w:right w:w="28" w:type="dxa"/>
        </w:tblCellMar>
      </w:tblPr>
      <w:tblGrid>
        <w:gridCol w:w="1248"/>
        <w:gridCol w:w="1097"/>
        <w:gridCol w:w="1104"/>
        <w:gridCol w:w="109"/>
        <w:gridCol w:w="109"/>
        <w:gridCol w:w="109"/>
        <w:gridCol w:w="519"/>
        <w:gridCol w:w="519"/>
        <w:gridCol w:w="521"/>
        <w:gridCol w:w="109"/>
        <w:gridCol w:w="109"/>
        <w:gridCol w:w="109"/>
        <w:gridCol w:w="1019"/>
        <w:gridCol w:w="1019"/>
        <w:gridCol w:w="1441"/>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34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Class A Ordinary Shares, no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Warrants to purchase Class A Ordinary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PGYWW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 NASDAQ Stock Market LLC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(17 CFR §230.405) or Rule 12b-2 of the Securities Exchange Act of 1934 (17 CFR §240.12b-2).</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Emerging growth company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5.07 Submission of Matters to a Vote of Security Holders.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held its Annual General Meeting of Shareholders on August 17, 2026. Below are the final voting results. For more information on the following proposals, see the Company’s Proxy Statement dated July 6, 2026.</w:t>
      </w:r>
    </w:p>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(1)ELECTION OF DIRECTORS</w:t>
      </w:r>
    </w:p>
    <w:p>
      <w:pPr>
        <w:pStyle w:val="TextBody"/>
        <w:bidi w:val="0"/>
        <w:spacing w:before="0" w:after="0"/>
        <w:jc w:val="left"/>
        <w:rPr/>
      </w:pPr>
      <w:r>
        <w:rPr/>
      </w:r>
    </w:p>
    <w:tbl>
      <w:tblPr>
        <w:tblW w:w="7096" w:type="dxa"/>
        <w:jc w:val="left"/>
        <w:tblInd w:w="0" w:type="dxa"/>
        <w:tblLayout w:type="fixed"/>
        <w:tblCellMar>
          <w:top w:w="28" w:type="dxa"/>
          <w:left w:w="28" w:type="dxa"/>
          <w:bottom w:w="28" w:type="dxa"/>
          <w:right w:w="28" w:type="dxa"/>
        </w:tblCellMar>
      </w:tblPr>
      <w:tblGrid>
        <w:gridCol w:w="733"/>
        <w:gridCol w:w="645"/>
        <w:gridCol w:w="646"/>
        <w:gridCol w:w="379"/>
        <w:gridCol w:w="379"/>
        <w:gridCol w:w="383"/>
        <w:gridCol w:w="310"/>
        <w:gridCol w:w="310"/>
        <w:gridCol w:w="311"/>
        <w:gridCol w:w="310"/>
        <w:gridCol w:w="310"/>
        <w:gridCol w:w="311"/>
        <w:gridCol w:w="605"/>
        <w:gridCol w:w="605"/>
        <w:gridCol w:w="859"/>
      </w:tblGrid>
      <w:tr>
        <w:trPr/>
        <w:tc>
          <w:tcPr>
            <w:tcW w:w="733"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2024"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 NOMINEE</w:t>
            </w:r>
          </w:p>
        </w:tc>
        <w:tc>
          <w:tcPr>
            <w:tcW w:w="114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AGAINST</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2069"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r>
      <w:tr>
        <w:trPr/>
        <w:tc>
          <w:tcPr>
            <w:tcW w:w="2024"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Gal Krubiner</w:t>
            </w:r>
          </w:p>
        </w:tc>
        <w:tc>
          <w:tcPr>
            <w:tcW w:w="114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130,371,453</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342,907</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64,491</w:t>
            </w:r>
          </w:p>
        </w:tc>
        <w:tc>
          <w:tcPr>
            <w:tcW w:w="2069"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r>
        <w:trPr/>
        <w:tc>
          <w:tcPr>
            <w:tcW w:w="2024"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Avital Pardo</w:t>
            </w:r>
          </w:p>
        </w:tc>
        <w:tc>
          <w:tcPr>
            <w:tcW w:w="114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130,265,581</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448,680</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64,590</w:t>
            </w:r>
          </w:p>
        </w:tc>
        <w:tc>
          <w:tcPr>
            <w:tcW w:w="2069"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r>
        <w:trPr/>
        <w:tc>
          <w:tcPr>
            <w:tcW w:w="2024"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Yahav Yulzari</w:t>
            </w:r>
          </w:p>
        </w:tc>
        <w:tc>
          <w:tcPr>
            <w:tcW w:w="114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130,260,031</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454,687</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64,133</w:t>
            </w:r>
          </w:p>
        </w:tc>
        <w:tc>
          <w:tcPr>
            <w:tcW w:w="2069"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r>
        <w:trPr/>
        <w:tc>
          <w:tcPr>
            <w:tcW w:w="2024"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 Zeevi</w:t>
            </w:r>
          </w:p>
        </w:tc>
        <w:tc>
          <w:tcPr>
            <w:tcW w:w="114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120,658,756</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9,904,259</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215,836</w:t>
            </w:r>
          </w:p>
        </w:tc>
        <w:tc>
          <w:tcPr>
            <w:tcW w:w="2069"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r>
        <w:trPr/>
        <w:tc>
          <w:tcPr>
            <w:tcW w:w="2024"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Alison Davis</w:t>
            </w:r>
          </w:p>
        </w:tc>
        <w:tc>
          <w:tcPr>
            <w:tcW w:w="114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130,356,667</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358,442</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63,742</w:t>
            </w:r>
          </w:p>
        </w:tc>
        <w:tc>
          <w:tcPr>
            <w:tcW w:w="2069"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r>
        <w:trPr/>
        <w:tc>
          <w:tcPr>
            <w:tcW w:w="2024"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Jason Gardner</w:t>
            </w:r>
          </w:p>
        </w:tc>
        <w:tc>
          <w:tcPr>
            <w:tcW w:w="114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129,892,670</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820,150</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66,031</w:t>
            </w:r>
          </w:p>
        </w:tc>
        <w:tc>
          <w:tcPr>
            <w:tcW w:w="2069"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r>
        <w:trPr/>
        <w:tc>
          <w:tcPr>
            <w:tcW w:w="2024"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Harvey Golub</w:t>
            </w:r>
          </w:p>
        </w:tc>
        <w:tc>
          <w:tcPr>
            <w:tcW w:w="114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130,085,632</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626,491</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66,728</w:t>
            </w:r>
          </w:p>
        </w:tc>
        <w:tc>
          <w:tcPr>
            <w:tcW w:w="2069"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r>
        <w:trPr/>
        <w:tc>
          <w:tcPr>
            <w:tcW w:w="2024"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Asheet Mehta</w:t>
            </w:r>
          </w:p>
        </w:tc>
        <w:tc>
          <w:tcPr>
            <w:tcW w:w="114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130,312,027</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386,855</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79,969</w:t>
            </w:r>
          </w:p>
        </w:tc>
        <w:tc>
          <w:tcPr>
            <w:tcW w:w="2069"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r>
        <w:trPr/>
        <w:tc>
          <w:tcPr>
            <w:tcW w:w="2024"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Dan Petrozzo</w:t>
            </w:r>
          </w:p>
        </w:tc>
        <w:tc>
          <w:tcPr>
            <w:tcW w:w="114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130,391,236</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305,678</w:t>
            </w:r>
          </w:p>
        </w:tc>
        <w:tc>
          <w:tcPr>
            <w:tcW w:w="931"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81,937</w:t>
            </w:r>
          </w:p>
        </w:tc>
        <w:tc>
          <w:tcPr>
            <w:tcW w:w="2069"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r>
        <w:trPr/>
        <w:tc>
          <w:tcPr>
            <w:tcW w:w="2024"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Tami Rosen</w:t>
            </w:r>
          </w:p>
        </w:tc>
        <w:tc>
          <w:tcPr>
            <w:tcW w:w="1141"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128,442,201</w:t>
            </w:r>
          </w:p>
        </w:tc>
        <w:tc>
          <w:tcPr>
            <w:tcW w:w="931"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2,271,173</w:t>
            </w:r>
          </w:p>
        </w:tc>
        <w:tc>
          <w:tcPr>
            <w:tcW w:w="931"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65,477</w:t>
            </w:r>
          </w:p>
        </w:tc>
        <w:tc>
          <w:tcPr>
            <w:tcW w:w="2069"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bl>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(2)RE-APPOINTMENT OF THE COMPANY’S INDEPENDENT REGISTERED PUBLIC ACCOUNTING FIRM </w:t>
      </w:r>
    </w:p>
    <w:p>
      <w:pPr>
        <w:pStyle w:val="TextBody"/>
        <w:bidi w:val="0"/>
        <w:spacing w:before="0" w:after="0"/>
        <w:jc w:val="left"/>
        <w:rPr/>
      </w:pPr>
      <w:r>
        <w:rPr/>
      </w:r>
    </w:p>
    <w:tbl>
      <w:tblPr>
        <w:tblW w:w="2176" w:type="dxa"/>
        <w:jc w:val="left"/>
        <w:tblInd w:w="0" w:type="dxa"/>
        <w:tblLayout w:type="fixed"/>
        <w:tblCellMar>
          <w:top w:w="28" w:type="dxa"/>
          <w:left w:w="28" w:type="dxa"/>
          <w:bottom w:w="28" w:type="dxa"/>
          <w:right w:w="28" w:type="dxa"/>
        </w:tblCellMar>
      </w:tblPr>
      <w:tblGrid>
        <w:gridCol w:w="357"/>
        <w:gridCol w:w="315"/>
        <w:gridCol w:w="318"/>
        <w:gridCol w:w="347"/>
        <w:gridCol w:w="347"/>
        <w:gridCol w:w="492"/>
      </w:tblGrid>
      <w:tr>
        <w:trPr/>
        <w:tc>
          <w:tcPr>
            <w:tcW w:w="35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152,794,384</w:t>
            </w:r>
          </w:p>
        </w:tc>
      </w:tr>
      <w:tr>
        <w:trPr/>
        <w:tc>
          <w:tcPr>
            <w:tcW w:w="99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AGAINST </w:t>
            </w:r>
          </w:p>
        </w:tc>
        <w:tc>
          <w:tcPr>
            <w:tcW w:w="1186"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175,272</w:t>
            </w:r>
          </w:p>
        </w:tc>
      </w:tr>
      <w:tr>
        <w:trPr/>
        <w:tc>
          <w:tcPr>
            <w:tcW w:w="99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74,415</w:t>
            </w:r>
          </w:p>
        </w:tc>
      </w:tr>
    </w:tbl>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(3)APPROVAL, ON AN ADVISORY (NON-BINDING) BASIS, OF THE COMPENSATION OF THE COMPANY’S NAMED EXECUTIVE OFFICERS</w:t>
      </w:r>
    </w:p>
    <w:p>
      <w:pPr>
        <w:pStyle w:val="TextBody"/>
        <w:bidi w:val="0"/>
        <w:spacing w:before="0" w:after="0"/>
        <w:jc w:val="left"/>
        <w:rPr/>
      </w:pPr>
      <w:r>
        <w:rPr/>
      </w:r>
    </w:p>
    <w:tbl>
      <w:tblPr>
        <w:tblW w:w="3226" w:type="dxa"/>
        <w:jc w:val="left"/>
        <w:tblInd w:w="0" w:type="dxa"/>
        <w:tblLayout w:type="fixed"/>
        <w:tblCellMar>
          <w:top w:w="28" w:type="dxa"/>
          <w:left w:w="28" w:type="dxa"/>
          <w:bottom w:w="28" w:type="dxa"/>
          <w:right w:w="28" w:type="dxa"/>
        </w:tblCellMar>
      </w:tblPr>
      <w:tblGrid>
        <w:gridCol w:w="734"/>
        <w:gridCol w:w="649"/>
        <w:gridCol w:w="657"/>
        <w:gridCol w:w="347"/>
        <w:gridCol w:w="347"/>
        <w:gridCol w:w="492"/>
      </w:tblGrid>
      <w:tr>
        <w:trPr/>
        <w:tc>
          <w:tcPr>
            <w:tcW w:w="73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127,798,789</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AGAINST </w:t>
            </w:r>
          </w:p>
        </w:tc>
        <w:tc>
          <w:tcPr>
            <w:tcW w:w="1186"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2,848,649</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131,413</w:t>
            </w:r>
          </w:p>
        </w:tc>
      </w:tr>
      <w:tr>
        <w:trPr/>
        <w:tc>
          <w:tcPr>
            <w:tcW w:w="204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86"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bl>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(4)APPROVAL OF THE 2026 BONUS CALCULATION FRAMEWORK FOR THE COMPANY’S MANAGEMENT DIRECTORS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The voting results for Items 4(a) and 4(b) reflect the Special Majority (as defined in the Proxy Statement).</w:t>
      </w:r>
    </w:p>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(a)Mr. Krubiner</w:t>
      </w:r>
    </w:p>
    <w:tbl>
      <w:tblPr>
        <w:tblW w:w="3121" w:type="dxa"/>
        <w:jc w:val="left"/>
        <w:tblInd w:w="0" w:type="dxa"/>
        <w:tblLayout w:type="fixed"/>
        <w:tblCellMar>
          <w:top w:w="28" w:type="dxa"/>
          <w:left w:w="28" w:type="dxa"/>
          <w:bottom w:w="28" w:type="dxa"/>
          <w:right w:w="28" w:type="dxa"/>
        </w:tblCellMar>
      </w:tblPr>
      <w:tblGrid>
        <w:gridCol w:w="734"/>
        <w:gridCol w:w="649"/>
        <w:gridCol w:w="657"/>
        <w:gridCol w:w="316"/>
        <w:gridCol w:w="316"/>
        <w:gridCol w:w="449"/>
      </w:tblGrid>
      <w:tr>
        <w:trPr/>
        <w:tc>
          <w:tcPr>
            <w:tcW w:w="73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81,667,434</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AGAINST </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2,547,090</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132,911</w:t>
            </w:r>
          </w:p>
        </w:tc>
      </w:tr>
      <w:tr>
        <w:trPr/>
        <w:tc>
          <w:tcPr>
            <w:tcW w:w="204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(b)Mr. Pardo and Mr. Yulzari</w:t>
      </w:r>
    </w:p>
    <w:tbl>
      <w:tblPr>
        <w:tblW w:w="3121" w:type="dxa"/>
        <w:jc w:val="left"/>
        <w:tblInd w:w="0" w:type="dxa"/>
        <w:tblLayout w:type="fixed"/>
        <w:tblCellMar>
          <w:top w:w="28" w:type="dxa"/>
          <w:left w:w="28" w:type="dxa"/>
          <w:bottom w:w="28" w:type="dxa"/>
          <w:right w:w="28" w:type="dxa"/>
        </w:tblCellMar>
      </w:tblPr>
      <w:tblGrid>
        <w:gridCol w:w="734"/>
        <w:gridCol w:w="649"/>
        <w:gridCol w:w="657"/>
        <w:gridCol w:w="316"/>
        <w:gridCol w:w="316"/>
        <w:gridCol w:w="449"/>
      </w:tblGrid>
      <w:tr>
        <w:trPr/>
        <w:tc>
          <w:tcPr>
            <w:tcW w:w="73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61,004,213</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AGAINST </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2,647,592</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133,016</w:t>
            </w:r>
          </w:p>
        </w:tc>
      </w:tr>
      <w:tr>
        <w:trPr/>
        <w:tc>
          <w:tcPr>
            <w:tcW w:w="204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bl>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(5)RATIFICATION OF PRIOR COMPENSATION ACTIONS FOR THE COMPANY’S MANAGEMENT DIRECTORS</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The voting results for Items 5(a), 5(b) and 5(c) reflect the Special Majority (as defined in the Proxy Statement).</w:t>
      </w:r>
    </w:p>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(a)Mr. Krubiner</w:t>
      </w:r>
    </w:p>
    <w:tbl>
      <w:tblPr>
        <w:tblW w:w="3121" w:type="dxa"/>
        <w:jc w:val="left"/>
        <w:tblInd w:w="0" w:type="dxa"/>
        <w:tblLayout w:type="fixed"/>
        <w:tblCellMar>
          <w:top w:w="28" w:type="dxa"/>
          <w:left w:w="28" w:type="dxa"/>
          <w:bottom w:w="28" w:type="dxa"/>
          <w:right w:w="28" w:type="dxa"/>
        </w:tblCellMar>
      </w:tblPr>
      <w:tblGrid>
        <w:gridCol w:w="734"/>
        <w:gridCol w:w="649"/>
        <w:gridCol w:w="657"/>
        <w:gridCol w:w="316"/>
        <w:gridCol w:w="316"/>
        <w:gridCol w:w="449"/>
      </w:tblGrid>
      <w:tr>
        <w:trPr/>
        <w:tc>
          <w:tcPr>
            <w:tcW w:w="73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80,547,731</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AGAINST </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3,670,583</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129,121</w:t>
            </w:r>
          </w:p>
        </w:tc>
      </w:tr>
      <w:tr>
        <w:trPr/>
        <w:tc>
          <w:tcPr>
            <w:tcW w:w="204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bl>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(b)Mr. Pardo and Mr. Yulzari</w:t>
      </w:r>
    </w:p>
    <w:tbl>
      <w:tblPr>
        <w:tblW w:w="3121" w:type="dxa"/>
        <w:jc w:val="left"/>
        <w:tblInd w:w="0" w:type="dxa"/>
        <w:tblLayout w:type="fixed"/>
        <w:tblCellMar>
          <w:top w:w="28" w:type="dxa"/>
          <w:left w:w="28" w:type="dxa"/>
          <w:bottom w:w="28" w:type="dxa"/>
          <w:right w:w="28" w:type="dxa"/>
        </w:tblCellMar>
      </w:tblPr>
      <w:tblGrid>
        <w:gridCol w:w="734"/>
        <w:gridCol w:w="649"/>
        <w:gridCol w:w="657"/>
        <w:gridCol w:w="316"/>
        <w:gridCol w:w="316"/>
        <w:gridCol w:w="449"/>
      </w:tblGrid>
      <w:tr>
        <w:trPr/>
        <w:tc>
          <w:tcPr>
            <w:tcW w:w="73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59,874,550</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AGAINST </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3,822,490</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87,781</w:t>
            </w:r>
          </w:p>
        </w:tc>
      </w:tr>
      <w:tr>
        <w:trPr/>
        <w:tc>
          <w:tcPr>
            <w:tcW w:w="204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bl>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(c)Ms. Rosen</w:t>
      </w:r>
    </w:p>
    <w:tbl>
      <w:tblPr>
        <w:tblW w:w="3226" w:type="dxa"/>
        <w:jc w:val="left"/>
        <w:tblInd w:w="0" w:type="dxa"/>
        <w:tblLayout w:type="fixed"/>
        <w:tblCellMar>
          <w:top w:w="28" w:type="dxa"/>
          <w:left w:w="28" w:type="dxa"/>
          <w:bottom w:w="28" w:type="dxa"/>
          <w:right w:w="28" w:type="dxa"/>
        </w:tblCellMar>
      </w:tblPr>
      <w:tblGrid>
        <w:gridCol w:w="734"/>
        <w:gridCol w:w="649"/>
        <w:gridCol w:w="657"/>
        <w:gridCol w:w="347"/>
        <w:gridCol w:w="347"/>
        <w:gridCol w:w="492"/>
      </w:tblGrid>
      <w:tr>
        <w:trPr/>
        <w:tc>
          <w:tcPr>
            <w:tcW w:w="73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126,561,259</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AGAINST </w:t>
            </w:r>
          </w:p>
        </w:tc>
        <w:tc>
          <w:tcPr>
            <w:tcW w:w="1186"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4,083,432</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86,672</w:t>
            </w:r>
          </w:p>
        </w:tc>
      </w:tr>
      <w:tr>
        <w:trPr/>
        <w:tc>
          <w:tcPr>
            <w:tcW w:w="204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86"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bl>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(6)APPROVAL OF THE COMPENSATION FOR THE COMPANY’S MANAGEMENT DIRECTORS FOR THE YEARS 2027-2029</w:t>
      </w:r>
    </w:p>
    <w:p>
      <w:pPr>
        <w:pStyle w:val="TextBody"/>
        <w:bidi w:val="0"/>
        <w:spacing w:before="0" w:after="0"/>
        <w:jc w:val="left"/>
        <w:rPr/>
      </w:pPr>
      <w:r>
        <w:rPr/>
      </w:r>
    </w:p>
    <w:p>
      <w:pPr>
        <w:pStyle w:val="TextBody"/>
        <w:bidi w:val="0"/>
        <w:spacing w:lineRule="auto" w:line="319" w:before="0" w:after="0"/>
        <w:jc w:val="left"/>
        <w:rPr>
          <w:rFonts w:ascii="Times New Roman;serif" w:hAnsi="Times New Roman;serif"/>
          <w:b w:val="false"/>
          <w:color w:val="000000"/>
          <w:sz w:val="20"/>
        </w:rPr>
      </w:pPr>
      <w:r>
        <w:rPr>
          <w:rFonts w:ascii="Times New Roman;serif" w:hAnsi="Times New Roman;serif"/>
          <w:b w:val="false"/>
          <w:color w:val="000000"/>
          <w:sz w:val="20"/>
        </w:rPr>
        <w:t>The voting results for Items 6(a) and 6(b) reflect the Special Majority (as defined in the Proxy Statement).</w:t>
      </w:r>
    </w:p>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(a)Mr. Krubiner</w:t>
      </w:r>
    </w:p>
    <w:tbl>
      <w:tblPr>
        <w:tblW w:w="3121" w:type="dxa"/>
        <w:jc w:val="left"/>
        <w:tblInd w:w="0" w:type="dxa"/>
        <w:tblLayout w:type="fixed"/>
        <w:tblCellMar>
          <w:top w:w="28" w:type="dxa"/>
          <w:left w:w="28" w:type="dxa"/>
          <w:bottom w:w="28" w:type="dxa"/>
          <w:right w:w="28" w:type="dxa"/>
        </w:tblCellMar>
      </w:tblPr>
      <w:tblGrid>
        <w:gridCol w:w="734"/>
        <w:gridCol w:w="649"/>
        <w:gridCol w:w="657"/>
        <w:gridCol w:w="316"/>
        <w:gridCol w:w="316"/>
        <w:gridCol w:w="449"/>
      </w:tblGrid>
      <w:tr>
        <w:trPr/>
        <w:tc>
          <w:tcPr>
            <w:tcW w:w="73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81,347,768</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AGAINST </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2,851,737</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147,930</w:t>
            </w:r>
          </w:p>
        </w:tc>
      </w:tr>
      <w:tr>
        <w:trPr/>
        <w:tc>
          <w:tcPr>
            <w:tcW w:w="204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bl>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(b)Mr. Pardo and Mr. Yulzari</w:t>
      </w:r>
    </w:p>
    <w:tbl>
      <w:tblPr>
        <w:tblW w:w="2071" w:type="dxa"/>
        <w:jc w:val="left"/>
        <w:tblInd w:w="0" w:type="dxa"/>
        <w:tblLayout w:type="fixed"/>
        <w:tblCellMar>
          <w:top w:w="28" w:type="dxa"/>
          <w:left w:w="28" w:type="dxa"/>
          <w:bottom w:w="28" w:type="dxa"/>
          <w:right w:w="28" w:type="dxa"/>
        </w:tblCellMar>
      </w:tblPr>
      <w:tblGrid>
        <w:gridCol w:w="357"/>
        <w:gridCol w:w="315"/>
        <w:gridCol w:w="318"/>
        <w:gridCol w:w="316"/>
        <w:gridCol w:w="316"/>
        <w:gridCol w:w="449"/>
      </w:tblGrid>
      <w:tr>
        <w:trPr/>
        <w:tc>
          <w:tcPr>
            <w:tcW w:w="35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99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60,734,676</w:t>
            </w:r>
          </w:p>
        </w:tc>
      </w:tr>
      <w:tr>
        <w:trPr/>
        <w:tc>
          <w:tcPr>
            <w:tcW w:w="99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AGAINST </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2,897,928</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121" w:type="dxa"/>
        <w:jc w:val="left"/>
        <w:tblInd w:w="0" w:type="dxa"/>
        <w:tblLayout w:type="fixed"/>
        <w:tblCellMar>
          <w:top w:w="28" w:type="dxa"/>
          <w:left w:w="28" w:type="dxa"/>
          <w:bottom w:w="28" w:type="dxa"/>
          <w:right w:w="28" w:type="dxa"/>
        </w:tblCellMar>
      </w:tblPr>
      <w:tblGrid>
        <w:gridCol w:w="737"/>
        <w:gridCol w:w="649"/>
        <w:gridCol w:w="654"/>
        <w:gridCol w:w="316"/>
        <w:gridCol w:w="316"/>
        <w:gridCol w:w="449"/>
      </w:tblGrid>
      <w:tr>
        <w:trPr/>
        <w:tc>
          <w:tcPr>
            <w:tcW w:w="737"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081"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152,217</w:t>
            </w:r>
          </w:p>
        </w:tc>
      </w:tr>
      <w:tr>
        <w:trPr/>
        <w:tc>
          <w:tcPr>
            <w:tcW w:w="204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081"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bl>
    <w:p>
      <w:pPr>
        <w:pStyle w:val="TextBody"/>
        <w:bidi w:val="0"/>
        <w:spacing w:before="0" w:after="0"/>
        <w:jc w:val="left"/>
        <w:rPr/>
      </w:pPr>
      <w:r>
        <w:rPr/>
      </w:r>
    </w:p>
    <w:p>
      <w:pPr>
        <w:pStyle w:val="TextBody"/>
        <w:bidi w:val="0"/>
        <w:spacing w:lineRule="auto" w:line="319"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(7)APPROVAL OF CERTAIN CHANGES TO THE CASH COMPENSATION FOR THE COMPANY’S NON-EMPLOYEE DIRECTORS</w:t>
      </w:r>
    </w:p>
    <w:p>
      <w:pPr>
        <w:pStyle w:val="TextBody"/>
        <w:bidi w:val="0"/>
        <w:spacing w:before="0" w:after="0"/>
        <w:jc w:val="left"/>
        <w:rPr/>
      </w:pPr>
      <w:r>
        <w:rPr/>
      </w:r>
    </w:p>
    <w:tbl>
      <w:tblPr>
        <w:tblW w:w="3226" w:type="dxa"/>
        <w:jc w:val="left"/>
        <w:tblInd w:w="0" w:type="dxa"/>
        <w:tblLayout w:type="fixed"/>
        <w:tblCellMar>
          <w:top w:w="28" w:type="dxa"/>
          <w:left w:w="28" w:type="dxa"/>
          <w:bottom w:w="28" w:type="dxa"/>
          <w:right w:w="28" w:type="dxa"/>
        </w:tblCellMar>
      </w:tblPr>
      <w:tblGrid>
        <w:gridCol w:w="734"/>
        <w:gridCol w:w="649"/>
        <w:gridCol w:w="657"/>
        <w:gridCol w:w="347"/>
        <w:gridCol w:w="347"/>
        <w:gridCol w:w="492"/>
      </w:tblGrid>
      <w:tr>
        <w:trPr/>
        <w:tc>
          <w:tcPr>
            <w:tcW w:w="734"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w:t>
            </w:r>
          </w:p>
        </w:tc>
        <w:tc>
          <w:tcPr>
            <w:tcW w:w="1186"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130,171,492</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AGAINST </w:t>
            </w:r>
          </w:p>
        </w:tc>
        <w:tc>
          <w:tcPr>
            <w:tcW w:w="1186"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439,384</w:t>
            </w:r>
          </w:p>
        </w:tc>
      </w:tr>
      <w:tr>
        <w:trPr/>
        <w:tc>
          <w:tcPr>
            <w:tcW w:w="2040" w:type="dxa"/>
            <w:gridSpan w:val="3"/>
            <w:tcBorders>
              <w:top w:val="single" w:sz="8" w:space="0" w:color="000000"/>
              <w:left w:val="single" w:sz="8" w:space="0" w:color="000000"/>
            </w:tcBorders>
            <w:tcMar>
              <w:top w:w="30" w:type="dxa"/>
              <w:left w:w="67"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ABSTAIN</w:t>
            </w:r>
          </w:p>
        </w:tc>
        <w:tc>
          <w:tcPr>
            <w:tcW w:w="1186" w:type="dxa"/>
            <w:gridSpan w:val="3"/>
            <w:tcBorders>
              <w:top w:val="single" w:sz="8" w:space="0" w:color="000000"/>
              <w:left w:val="single" w:sz="8" w:space="0" w:color="000000"/>
              <w:right w:val="single" w:sz="8" w:space="0" w:color="000000"/>
            </w:tcBorders>
            <w:tcMar>
              <w:top w:w="30" w:type="dxa"/>
              <w:left w:w="67" w:type="dxa"/>
              <w:bottom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167,975</w:t>
            </w:r>
          </w:p>
        </w:tc>
      </w:tr>
      <w:tr>
        <w:trPr/>
        <w:tc>
          <w:tcPr>
            <w:tcW w:w="2040" w:type="dxa"/>
            <w:gridSpan w:val="3"/>
            <w:tcBorders>
              <w:top w:val="single" w:sz="8" w:space="0" w:color="000000"/>
              <w:left w:val="single" w:sz="8" w:space="0" w:color="000000"/>
              <w:bottom w:val="single" w:sz="8" w:space="0" w:color="000000"/>
            </w:tcBorders>
            <w:tcMar>
              <w:top w:w="30" w:type="dxa"/>
              <w:left w:w="67"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NON-VOTES</w:t>
            </w:r>
          </w:p>
        </w:tc>
        <w:tc>
          <w:tcPr>
            <w:tcW w:w="1186" w:type="dxa"/>
            <w:gridSpan w:val="3"/>
            <w:tcBorders>
              <w:top w:val="single" w:sz="8" w:space="0" w:color="000000"/>
              <w:left w:val="single" w:sz="8" w:space="0" w:color="000000"/>
              <w:bottom w:val="single" w:sz="8" w:space="0" w:color="000000"/>
              <w:right w:val="single" w:sz="8" w:space="0" w:color="000000"/>
            </w:tcBorders>
            <w:tcMar>
              <w:top w:w="30" w:type="dxa"/>
              <w:left w:w="67" w:type="dxa"/>
              <w:bottom w:w="3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22,265,220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SIGNATURES </w:t>
      </w:r>
    </w:p>
    <w:p>
      <w:pPr>
        <w:pStyle w:val="TextBody"/>
        <w:bidi w:val="0"/>
        <w:spacing w:before="0" w:after="0"/>
        <w:jc w:val="center"/>
        <w:rPr/>
      </w:pPr>
      <w:r>
        <w:rPr/>
      </w:r>
    </w:p>
    <w:p>
      <w:pPr>
        <w:pStyle w:val="TextBody"/>
        <w:bidi w:val="0"/>
        <w:spacing w:lineRule="auto" w:line="26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tbl>
      <w:tblPr>
        <w:tblW w:w="5713" w:type="dxa"/>
        <w:jc w:val="left"/>
        <w:tblInd w:w="0" w:type="dxa"/>
        <w:tblLayout w:type="fixed"/>
        <w:tblCellMar>
          <w:top w:w="28" w:type="dxa"/>
          <w:left w:w="28" w:type="dxa"/>
          <w:bottom w:w="28" w:type="dxa"/>
          <w:right w:w="28" w:type="dxa"/>
        </w:tblCellMar>
      </w:tblPr>
      <w:tblGrid>
        <w:gridCol w:w="705"/>
        <w:gridCol w:w="621"/>
        <w:gridCol w:w="624"/>
        <w:gridCol w:w="208"/>
        <w:gridCol w:w="208"/>
        <w:gridCol w:w="213"/>
        <w:gridCol w:w="918"/>
        <w:gridCol w:w="918"/>
        <w:gridCol w:w="1298"/>
      </w:tblGrid>
      <w:tr>
        <w:trPr/>
        <w:tc>
          <w:tcPr>
            <w:tcW w:w="705"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 xml:space="preserve">PAGAYA TECHNOLOGIES LTD.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18, 2026</w:t>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Gal Krubiner </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31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Gal Krubiner</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31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713</Words>
  <Characters>4268</Characters>
  <CharactersWithSpaces>4797</CharactersWithSpaces>
  <Paragraphs>202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