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3"/>
        <w:gridCol w:w="973"/>
        <w:gridCol w:w="973"/>
        <w:gridCol w:w="973"/>
        <w:gridCol w:w="973"/>
        <w:gridCol w:w="973"/>
        <w:gridCol w:w="973"/>
        <w:gridCol w:w="973"/>
        <w:gridCol w:w="1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7"/>
        <w:gridCol w:w="977"/>
        <w:gridCol w:w="977"/>
        <w:gridCol w:w="977"/>
        <w:gridCol w:w="977"/>
        <w:gridCol w:w="977"/>
        <w:gridCol w:w="977"/>
        <w:gridCol w:w="977"/>
        <w:gridCol w:w="1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before="0" w:after="0"/>
        <w:jc w:val="left"/>
        <w:rPr/>
      </w:pPr>
      <w:r>
        <w:rPr/>
      </w:r>
    </w:p>
    <w:p>
      <w:pPr>
        <w:pStyle w:val="TextBody"/>
        <w:bidi w:val="0"/>
        <w:spacing w:lineRule="auto" w:line="240" w:before="0" w:after="0"/>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18"/>
        </w:rPr>
        <w:t>001-41430</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Pagaya Technologies Ltd.</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948" w:type="dxa"/>
        <w:jc w:val="center"/>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19"/>
        <w:gridCol w:w="319"/>
        <w:gridCol w:w="319"/>
        <w:gridCol w:w="319"/>
        <w:gridCol w:w="319"/>
        <w:gridCol w:w="319"/>
        <w:gridCol w:w="319"/>
        <w:gridCol w:w="319"/>
        <w:gridCol w:w="473"/>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Israel</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98-1704718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94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335 Madison Ave, 16th Floor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(646) 710-7714</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9187" w:type="dxa"/>
        <w:jc w:val="left"/>
        <w:tblInd w:w="0" w:type="dxa"/>
        <w:tblLayout w:type="fixed"/>
        <w:tblCellMar>
          <w:top w:w="28" w:type="dxa"/>
          <w:left w:w="28" w:type="dxa"/>
          <w:bottom w:w="28" w:type="dxa"/>
          <w:right w:w="28" w:type="dxa"/>
        </w:tblCellMar>
      </w:tblPr>
      <w:tblGrid>
        <w:gridCol w:w="1264"/>
        <w:gridCol w:w="1112"/>
        <w:gridCol w:w="1119"/>
        <w:gridCol w:w="109"/>
        <w:gridCol w:w="109"/>
        <w:gridCol w:w="109"/>
        <w:gridCol w:w="519"/>
        <w:gridCol w:w="519"/>
        <w:gridCol w:w="521"/>
        <w:gridCol w:w="109"/>
        <w:gridCol w:w="109"/>
        <w:gridCol w:w="109"/>
        <w:gridCol w:w="1019"/>
        <w:gridCol w:w="1019"/>
        <w:gridCol w:w="144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Ordinary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Warrants to purchase Class A Ordinary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40" w:before="0" w:after="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40" w:before="0" w:after="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40"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0" w:before="0" w:after="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As of April 30, 2026, the registrant had 71,582,265 Class A Ordinary Shares, no par value, outstanding; 11,288,577 Class B Ordinary Shares, no par value, outstanding; and 2,027,147 Series A Preferred Shares, no par value, outstanding.</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TABLE OF CONTENTS</w:t>
      </w:r>
    </w:p>
    <w:p>
      <w:pPr>
        <w:pStyle w:val="TextBody"/>
        <w:bidi w:val="0"/>
        <w:spacing w:before="0" w:after="0"/>
        <w:jc w:val="center"/>
        <w:rPr/>
      </w:pPr>
      <w:r>
        <w:rPr/>
      </w:r>
    </w:p>
    <w:tbl>
      <w:tblPr>
        <w:tblW w:w="9418" w:type="dxa"/>
        <w:jc w:val="left"/>
        <w:tblInd w:w="0" w:type="dxa"/>
        <w:tblLayout w:type="fixed"/>
        <w:tblCellMar>
          <w:top w:w="28" w:type="dxa"/>
          <w:left w:w="28" w:type="dxa"/>
          <w:bottom w:w="28" w:type="dxa"/>
          <w:right w:w="28" w:type="dxa"/>
        </w:tblCellMar>
      </w:tblPr>
      <w:tblGrid>
        <w:gridCol w:w="3108"/>
        <w:gridCol w:w="2732"/>
        <w:gridCol w:w="2740"/>
        <w:gridCol w:w="109"/>
        <w:gridCol w:w="109"/>
        <w:gridCol w:w="109"/>
        <w:gridCol w:w="149"/>
        <w:gridCol w:w="149"/>
        <w:gridCol w:w="213"/>
      </w:tblGrid>
      <w:tr>
        <w:trPr/>
        <w:tc>
          <w:tcPr>
            <w:tcW w:w="3108"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Page</w:t>
            </w:r>
          </w:p>
        </w:tc>
      </w:tr>
      <w:tr>
        <w:trPr/>
        <w:tc>
          <w:tcPr>
            <w:tcW w:w="8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icf7eea802477409a89849483e9a26ba5_13">
              <w:r>
                <w:rPr>
                  <w:rStyle w:val="InternetLink"/>
                  <w:rFonts w:ascii="Times New Roman;serif" w:hAnsi="Times New Roman;serif"/>
                  <w:b w:val="false"/>
                  <w:color w:val="0000FF"/>
                  <w:sz w:val="18"/>
                  <w:u w:val="single"/>
                </w:rPr>
                <w:t>Part I - Financial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cf7eea802477409a89849483e9a26ba5_13">
              <w:r>
                <w:rPr>
                  <w:rStyle w:val="InternetLink"/>
                  <w:rFonts w:ascii="Times New Roman;serif" w:hAnsi="Times New Roman;serif"/>
                  <w:b w:val="false"/>
                  <w:strike w:val="false"/>
                  <w:dstrike w:val="false"/>
                  <w:color w:val="000000"/>
                  <w:sz w:val="18"/>
                  <w:u w:val="none"/>
                  <w:effect w:val="none"/>
                </w:rPr>
                <w:t>1</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16">
              <w:r>
                <w:rPr>
                  <w:rStyle w:val="InternetLink"/>
                  <w:rFonts w:ascii="Times New Roman;serif" w:hAnsi="Times New Roman;serif"/>
                  <w:b w:val="false"/>
                  <w:color w:val="0000FF"/>
                  <w:sz w:val="18"/>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16">
              <w:r>
                <w:rPr>
                  <w:rStyle w:val="InternetLink"/>
                  <w:rFonts w:ascii="Times New Roman;serif" w:hAnsi="Times New Roman;serif"/>
                  <w:b w:val="false"/>
                  <w:strike w:val="false"/>
                  <w:dstrike w:val="false"/>
                  <w:color w:val="000000"/>
                  <w:sz w:val="18"/>
                  <w:u w:val="none"/>
                  <w:effect w:val="none"/>
                </w:rPr>
                <w:t>1</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f7eea802477409a89849483e9a26ba5_19">
              <w:r>
                <w:rPr>
                  <w:rStyle w:val="InternetLink"/>
                  <w:rFonts w:ascii="Times New Roman;serif" w:hAnsi="Times New Roman;serif"/>
                  <w:b w:val="false"/>
                  <w:color w:val="0000FF"/>
                  <w:sz w:val="18"/>
                  <w:u w:val="single"/>
                </w:rPr>
                <w:t>Condensed Consolidated Balance Sheets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19">
              <w:r>
                <w:rPr>
                  <w:rStyle w:val="InternetLink"/>
                  <w:rFonts w:ascii="Times New Roman;serif" w:hAnsi="Times New Roman;serif"/>
                  <w:b w:val="false"/>
                  <w:strike w:val="false"/>
                  <w:dstrike w:val="false"/>
                  <w:color w:val="000000"/>
                  <w:sz w:val="18"/>
                  <w:u w:val="none"/>
                  <w:effect w:val="none"/>
                </w:rPr>
                <w:t>1</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cf7eea802477409a89849483e9a26ba5_28">
              <w:r>
                <w:rPr>
                  <w:rStyle w:val="InternetLink"/>
                  <w:rFonts w:ascii="Times New Roman;serif" w:hAnsi="Times New Roman;serif"/>
                  <w:b w:val="false"/>
                  <w:color w:val="0000FF"/>
                  <w:sz w:val="18"/>
                  <w:u w:val="single"/>
                </w:rPr>
                <w:t>Condensed Consolidated Statements of Income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8">
              <w:r>
                <w:rPr>
                  <w:rStyle w:val="InternetLink"/>
                  <w:rFonts w:ascii="Times New Roman;serif" w:hAnsi="Times New Roman;serif"/>
                  <w:b w:val="false"/>
                  <w:strike w:val="false"/>
                  <w:dstrike w:val="false"/>
                  <w:color w:val="000000"/>
                  <w:sz w:val="18"/>
                  <w:u w:val="none"/>
                  <w:effect w:val="none"/>
                </w:rPr>
                <w:t>2</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cf7eea802477409a89849483e9a26ba5_34">
              <w:r>
                <w:rPr>
                  <w:rStyle w:val="InternetLink"/>
                  <w:rFonts w:ascii="Times New Roman;serif" w:hAnsi="Times New Roman;serif"/>
                  <w:b w:val="false"/>
                  <w:color w:val="0000FF"/>
                  <w:sz w:val="18"/>
                  <w:u w:val="single"/>
                </w:rPr>
                <w:t>Condensed Consolidated Statements of Comprehensive Income (Loss)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34">
              <w:r>
                <w:rPr>
                  <w:rStyle w:val="InternetLink"/>
                  <w:rFonts w:ascii="Times New Roman;serif" w:hAnsi="Times New Roman;serif"/>
                  <w:b w:val="false"/>
                  <w:strike w:val="false"/>
                  <w:dstrike w:val="false"/>
                  <w:color w:val="000000"/>
                  <w:sz w:val="18"/>
                  <w:u w:val="none"/>
                  <w:effect w:val="none"/>
                </w:rPr>
                <w:t>3</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cf7eea802477409a89849483e9a26ba5_37">
              <w:r>
                <w:rPr>
                  <w:rStyle w:val="InternetLink"/>
                  <w:rFonts w:ascii="Times New Roman;serif" w:hAnsi="Times New Roman;serif"/>
                  <w:b w:val="false"/>
                  <w:color w:val="0000FF"/>
                  <w:sz w:val="18"/>
                  <w:u w:val="single"/>
                </w:rPr>
                <w:t>Condensed Consolidated Statements of Changes in Redeemable Convertible Preferred Shares and Shareholders’ Equity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37">
              <w:r>
                <w:rPr>
                  <w:rStyle w:val="InternetLink"/>
                  <w:rFonts w:ascii="Times New Roman;serif" w:hAnsi="Times New Roman;serif"/>
                  <w:b w:val="false"/>
                  <w:strike w:val="false"/>
                  <w:dstrike w:val="false"/>
                  <w:color w:val="000000"/>
                  <w:sz w:val="18"/>
                  <w:u w:val="none"/>
                  <w:effect w:val="none"/>
                </w:rPr>
                <w:t>4</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Condensed Consolidated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46">
              <w:r>
                <w:rPr>
                  <w:rStyle w:val="InternetLink"/>
                  <w:rFonts w:ascii="Times New Roman;serif" w:hAnsi="Times New Roman;serif"/>
                  <w:b w:val="false"/>
                  <w:strike w:val="false"/>
                  <w:dstrike w:val="false"/>
                  <w:color w:val="000000"/>
                  <w:sz w:val="18"/>
                  <w:u w:val="none"/>
                  <w:effect w:val="none"/>
                </w:rPr>
                <w:t>5</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cf7eea802477409a89849483e9a26ba5_55">
              <w:r>
                <w:rPr>
                  <w:rStyle w:val="InternetLink"/>
                  <w:rFonts w:ascii="Times New Roman;serif" w:hAnsi="Times New Roman;serif"/>
                  <w:b w:val="false"/>
                  <w:color w:val="0000FF"/>
                  <w:sz w:val="18"/>
                  <w:u w:val="single"/>
                </w:rPr>
                <w:t>Notes to the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55">
              <w:r>
                <w:rPr>
                  <w:rStyle w:val="InternetLink"/>
                  <w:rFonts w:ascii="Times New Roman;serif" w:hAnsi="Times New Roman;serif"/>
                  <w:b w:val="false"/>
                  <w:strike w:val="false"/>
                  <w:dstrike w:val="false"/>
                  <w:color w:val="000000"/>
                  <w:sz w:val="18"/>
                  <w:u w:val="none"/>
                  <w:effect w:val="none"/>
                </w:rPr>
                <w:t>6</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181">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181">
              <w:r>
                <w:rPr>
                  <w:rStyle w:val="InternetLink"/>
                  <w:rFonts w:ascii="Times New Roman;serif" w:hAnsi="Times New Roman;serif"/>
                  <w:b w:val="false"/>
                  <w:strike w:val="false"/>
                  <w:dstrike w:val="false"/>
                  <w:color w:val="000000"/>
                  <w:sz w:val="18"/>
                  <w:u w:val="none"/>
                  <w:effect w:val="none"/>
                </w:rPr>
                <w:t>26</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220">
              <w:r>
                <w:rPr>
                  <w:rStyle w:val="InternetLink"/>
                  <w:rFonts w:ascii="Times New Roman;serif" w:hAnsi="Times New Roman;serif"/>
                  <w:b w:val="false"/>
                  <w:color w:val="0000FF"/>
                  <w:sz w:val="18"/>
                  <w:u w:val="single"/>
                </w:rPr>
                <w:t>Item 3. Quantitative and Qualitative Disclosures About Market Risk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20">
              <w:r>
                <w:rPr>
                  <w:rStyle w:val="InternetLink"/>
                  <w:rFonts w:ascii="Times New Roman;serif" w:hAnsi="Times New Roman;serif"/>
                  <w:b w:val="false"/>
                  <w:strike w:val="false"/>
                  <w:dstrike w:val="false"/>
                  <w:color w:val="000000"/>
                  <w:sz w:val="18"/>
                  <w:u w:val="none"/>
                  <w:effect w:val="none"/>
                </w:rPr>
                <w:t>42</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226">
              <w:r>
                <w:rPr>
                  <w:rStyle w:val="InternetLink"/>
                  <w:rFonts w:ascii="Times New Roman;serif" w:hAnsi="Times New Roman;serif"/>
                  <w:b w:val="false"/>
                  <w:color w:val="0000FF"/>
                  <w:sz w:val="18"/>
                  <w:u w:val="single"/>
                </w:rPr>
                <w:t>Item 4. 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26">
              <w:r>
                <w:rPr>
                  <w:rStyle w:val="InternetLink"/>
                  <w:rFonts w:ascii="Times New Roman;serif" w:hAnsi="Times New Roman;serif"/>
                  <w:b w:val="false"/>
                  <w:strike w:val="false"/>
                  <w:dstrike w:val="false"/>
                  <w:color w:val="000000"/>
                  <w:sz w:val="18"/>
                  <w:u w:val="none"/>
                  <w:effect w:val="none"/>
                </w:rPr>
                <w:t>43</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229">
              <w:r>
                <w:rPr>
                  <w:rStyle w:val="InternetLink"/>
                  <w:rFonts w:ascii="Times New Roman;serif" w:hAnsi="Times New Roman;serif"/>
                  <w:b w:val="false"/>
                  <w:color w:val="0000FF"/>
                  <w:sz w:val="18"/>
                  <w:u w:val="single"/>
                </w:rPr>
                <w:t>Part II -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29">
              <w:r>
                <w:rPr>
                  <w:rStyle w:val="InternetLink"/>
                  <w:rFonts w:ascii="Times New Roman;serif" w:hAnsi="Times New Roman;serif"/>
                  <w:b w:val="false"/>
                  <w:strike w:val="false"/>
                  <w:dstrike w:val="false"/>
                  <w:color w:val="000000"/>
                  <w:sz w:val="18"/>
                  <w:u w:val="none"/>
                  <w:effect w:val="none"/>
                </w:rPr>
                <w:t>44</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232">
              <w:r>
                <w:rPr>
                  <w:rStyle w:val="InternetLink"/>
                  <w:rFonts w:ascii="Times New Roman;serif" w:hAnsi="Times New Roman;serif"/>
                  <w:b w:val="false"/>
                  <w:color w:val="0000FF"/>
                  <w:sz w:val="18"/>
                  <w:u w:val="single"/>
                </w:rPr>
                <w:t>Item 1. 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32">
              <w:r>
                <w:rPr>
                  <w:rStyle w:val="InternetLink"/>
                  <w:rFonts w:ascii="Times New Roman;serif" w:hAnsi="Times New Roman;serif"/>
                  <w:b w:val="false"/>
                  <w:strike w:val="false"/>
                  <w:dstrike w:val="false"/>
                  <w:color w:val="000000"/>
                  <w:sz w:val="18"/>
                  <w:u w:val="none"/>
                  <w:effect w:val="none"/>
                </w:rPr>
                <w:t>44</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235">
              <w:r>
                <w:rPr>
                  <w:rStyle w:val="InternetLink"/>
                  <w:rFonts w:ascii="Times New Roman;serif" w:hAnsi="Times New Roman;serif"/>
                  <w:b w:val="false"/>
                  <w:color w:val="0000FF"/>
                  <w:sz w:val="18"/>
                  <w:u w:val="single"/>
                </w:rPr>
                <w:t>Item 1A. 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35">
              <w:r>
                <w:rPr>
                  <w:rStyle w:val="InternetLink"/>
                  <w:rFonts w:ascii="Times New Roman;serif" w:hAnsi="Times New Roman;serif"/>
                  <w:b w:val="false"/>
                  <w:strike w:val="false"/>
                  <w:dstrike w:val="false"/>
                  <w:color w:val="000000"/>
                  <w:sz w:val="18"/>
                  <w:u w:val="none"/>
                  <w:effect w:val="none"/>
                </w:rPr>
                <w:t>44</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238">
              <w:r>
                <w:rPr>
                  <w:rStyle w:val="InternetLink"/>
                  <w:rFonts w:ascii="Times New Roman;serif" w:hAnsi="Times New Roman;serif"/>
                  <w:b w:val="false"/>
                  <w:color w:val="0000FF"/>
                  <w:sz w:val="18"/>
                  <w:u w:val="single"/>
                </w:rPr>
                <w:t>Item 2. 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38">
              <w:r>
                <w:rPr>
                  <w:rStyle w:val="InternetLink"/>
                  <w:rFonts w:ascii="Times New Roman;serif" w:hAnsi="Times New Roman;serif"/>
                  <w:b w:val="false"/>
                  <w:strike w:val="false"/>
                  <w:dstrike w:val="false"/>
                  <w:color w:val="000000"/>
                  <w:sz w:val="18"/>
                  <w:u w:val="none"/>
                  <w:effect w:val="none"/>
                </w:rPr>
                <w:t>44</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241">
              <w:r>
                <w:rPr>
                  <w:rStyle w:val="InternetLink"/>
                  <w:rFonts w:ascii="Times New Roman;serif" w:hAnsi="Times New Roman;serif"/>
                  <w:b w:val="false"/>
                  <w:color w:val="0000FF"/>
                  <w:sz w:val="18"/>
                  <w:u w:val="single"/>
                </w:rPr>
                <w:t>Item 3. 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41">
              <w:r>
                <w:rPr>
                  <w:rStyle w:val="InternetLink"/>
                  <w:rFonts w:ascii="Times New Roman;serif" w:hAnsi="Times New Roman;serif"/>
                  <w:b w:val="false"/>
                  <w:strike w:val="false"/>
                  <w:dstrike w:val="false"/>
                  <w:color w:val="000000"/>
                  <w:sz w:val="18"/>
                  <w:u w:val="none"/>
                  <w:effect w:val="none"/>
                </w:rPr>
                <w:t>45</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244">
              <w:r>
                <w:rPr>
                  <w:rStyle w:val="InternetLink"/>
                  <w:rFonts w:ascii="Times New Roman;serif" w:hAnsi="Times New Roman;serif"/>
                  <w:b w:val="false"/>
                  <w:color w:val="0000FF"/>
                  <w:sz w:val="18"/>
                  <w:u w:val="single"/>
                </w:rPr>
                <w:t>Item 4. 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44">
              <w:r>
                <w:rPr>
                  <w:rStyle w:val="InternetLink"/>
                  <w:rFonts w:ascii="Times New Roman;serif" w:hAnsi="Times New Roman;serif"/>
                  <w:b w:val="false"/>
                  <w:strike w:val="false"/>
                  <w:dstrike w:val="false"/>
                  <w:color w:val="000000"/>
                  <w:sz w:val="18"/>
                  <w:u w:val="none"/>
                  <w:effect w:val="none"/>
                </w:rPr>
                <w:t>45</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247">
              <w:r>
                <w:rPr>
                  <w:rStyle w:val="InternetLink"/>
                  <w:rFonts w:ascii="Times New Roman;serif" w:hAnsi="Times New Roman;serif"/>
                  <w:b w:val="false"/>
                  <w:color w:val="0000FF"/>
                  <w:sz w:val="18"/>
                  <w:u w:val="single"/>
                </w:rPr>
                <w:t>Item 5.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47">
              <w:r>
                <w:rPr>
                  <w:rStyle w:val="InternetLink"/>
                  <w:rFonts w:ascii="Times New Roman;serif" w:hAnsi="Times New Roman;serif"/>
                  <w:b w:val="false"/>
                  <w:strike w:val="false"/>
                  <w:dstrike w:val="false"/>
                  <w:color w:val="000000"/>
                  <w:sz w:val="18"/>
                  <w:u w:val="none"/>
                  <w:effect w:val="none"/>
                </w:rPr>
                <w:t>45</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253">
              <w:r>
                <w:rPr>
                  <w:rStyle w:val="InternetLink"/>
                  <w:rFonts w:ascii="Times New Roman;serif" w:hAnsi="Times New Roman;serif"/>
                  <w:b w:val="false"/>
                  <w:color w:val="0000FF"/>
                  <w:sz w:val="18"/>
                  <w:u w:val="single"/>
                </w:rPr>
                <w:t>Item 6. 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53">
              <w:r>
                <w:rPr>
                  <w:rStyle w:val="InternetLink"/>
                  <w:rFonts w:ascii="Times New Roman;serif" w:hAnsi="Times New Roman;serif"/>
                  <w:b w:val="false"/>
                  <w:strike w:val="false"/>
                  <w:dstrike w:val="false"/>
                  <w:color w:val="000000"/>
                  <w:sz w:val="18"/>
                  <w:u w:val="none"/>
                  <w:effect w:val="none"/>
                </w:rPr>
                <w:t>45</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f7eea802477409a89849483e9a26ba5_256">
              <w:r>
                <w:rPr>
                  <w:rStyle w:val="InternetLink"/>
                  <w:rFonts w:ascii="Times New Roman;serif" w:hAnsi="Times New Roman;serif"/>
                  <w:b w:val="false"/>
                  <w:color w:val="0000FF"/>
                  <w:sz w:val="18"/>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f7eea802477409a89849483e9a26ba5_256">
              <w:r>
                <w:rPr>
                  <w:rStyle w:val="InternetLink"/>
                  <w:rFonts w:ascii="Times New Roman;serif" w:hAnsi="Times New Roman;serif"/>
                  <w:b w:val="false"/>
                  <w:strike w:val="false"/>
                  <w:dstrike w:val="false"/>
                  <w:color w:val="000000"/>
                  <w:sz w:val="18"/>
                  <w:u w:val="none"/>
                  <w:effect w:val="non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Quarterly Report contains forward-looking statements that involve substantial risks and uncertainties. The Private Securities Litigation Reform Act of 1995 provides safe harbor protections for forward-looking statements in order to encourage companies to provide prospective information about their business. All statements other than statements of historical facts contained in this Quarterly Report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 Forward-looking statements include, without limitation, statements regarding: our expectations concerning the outlook for our business; our product suite; developing and scaling new asset types, products, and services; expanding our current Partner relationships; adding new Partners; increasing Network Volume; leveraging our data and AI capabilities; outperforming the broader market; improving our cost of capital; diversifying our funding network; delivering assets to meet our investors’ expectations; evaluating operational and safety protocols; making strategic investments to support our business plans, including in technology, data, and product development; and the sufficiency of our liquidity and capital resources to support our business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pStyle w:val="TextBody"/>
        <w:bidi w:val="0"/>
        <w:spacing w:before="0" w:after="0"/>
        <w:jc w:val="both"/>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our rapid growth and our ability to effectively manage our growth and maintain profitability;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adverse global economic conditions and other catastrophic events;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adverse developments impacting the banking and financial services industries, consumer credit activity, and the availability of equity and debt financing;</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our reliance on services provided by third-party vendors;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our dependence on our AI technology;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reliance on a limited number of partners which presents concentration risk for Network Volume and Revenue;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retaining and attracting new partners by improving our platform and offering new and relevant products;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ability to raise capital from investors;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developing and maintaining robust and diverse funding sources;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competitive nature of our industry;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changes to our accounting policies or financial reporting standards;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maintaining our brand image and reputation;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managing risks related to fraudulent activity;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reliance on key employees including our founders;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effectively managing conflicts of interest related to our financing vehicles;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legal proceedings, investigations, or claims;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maintaining adequate insurance coverage;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effectiveness of our risk management processes;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realizing the intended benefits of any strategic transactions;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regulation of AI technologies by the FTC, CFPB, and other governmental agencies;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enforcing our intellectual property rights;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use of open-source software components;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ability to continue receiving accurate data from our partners;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cyberattacks and other security breaches;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risks related to our single-family rental operations including volatility in the single-family rental market, lease renewal and default rates, HOA regulations, the accuracy of resident-supplied information, leasing fraud, renovation and maintenance costs, and regulations impacting the single-family rental business;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compliance with laws related to consumer protection, consumer finance, lending, fair lending, data protection and privacy, cybersecurity, and investment advisory services, and maintaining required licenses to operate;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heightened regulation of the financial services industry;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risks that we are deemed to be an investment company or that we cannot rely on exemptions under various laws to conduct the funding component of our business;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ability to continue accessing the securitization market;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compliance with anti-corruption, anti-bribery, anti-money laundering, economic and trade sanctions and similar laws;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risk that we would be deemed the true lender for loans originated by our partners;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enforceability of assets we acquire from our partners;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risks related to ongoing conflicts including between Russia and Ukraine and Israel, the United States, and Iran;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risks related to our operations in Israel including regional hostilities and our employees’ required military service;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risks related to being a public company including limited management experience and increased costs;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covenants in our indebtedness arrangements that could limit our ability to operate our business;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changes in tax laws and the outcome of potential tax audits; and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the other matters described in “</w:t>
      </w:r>
      <w:r>
        <w:rPr>
          <w:rFonts w:ascii="Times New Roman;serif" w:hAnsi="Times New Roman;serif"/>
          <w:b w:val="false"/>
          <w:i/>
          <w:color w:val="000000"/>
          <w:sz w:val="18"/>
        </w:rPr>
        <w:t>Risk Factors</w:t>
      </w:r>
      <w:r>
        <w:rPr>
          <w:color w:val="000000"/>
        </w:rPr>
        <w:t xml:space="preserve">” </w:t>
      </w:r>
      <w:r>
        <w:rPr>
          <w:rFonts w:ascii="Times New Roman;serif" w:hAnsi="Times New Roman;serif"/>
          <w:b w:val="false"/>
          <w:color w:val="000000"/>
          <w:sz w:val="18"/>
        </w:rPr>
        <w:t>in our 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caution you not to rely on forward-looking statements, which reflect current beliefs and are based on information currently available as of the date a forward-looking statement is made. Forward-looking statements set forth herein speak only as of the date of this Quarterly Report.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Market, ranking and industry data used throughout this Quarterly Report,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This data involves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 “</w:t>
      </w:r>
      <w:r>
        <w:rPr>
          <w:rFonts w:ascii="Times New Roman;serif" w:hAnsi="Times New Roman;serif"/>
          <w:b w:val="false"/>
          <w:i/>
          <w:color w:val="000000"/>
          <w:sz w:val="18"/>
        </w:rPr>
        <w:t>Risk Factors</w:t>
      </w:r>
      <w:r>
        <w:rPr>
          <w:color w:val="000000"/>
        </w:rPr>
        <w:t xml:space="preserve">” </w:t>
      </w:r>
      <w:r>
        <w:rPr>
          <w:rFonts w:ascii="Times New Roman;serif" w:hAnsi="Times New Roman;serif"/>
          <w:b w:val="false"/>
          <w:color w:val="000000"/>
          <w:sz w:val="18"/>
        </w:rPr>
        <w:t>in our Annual Report on Form 10-K, which was filed with the SEC on March 2, 2026, and “</w:t>
      </w:r>
      <w:r>
        <w:rPr>
          <w:rFonts w:ascii="Times New Roman;serif" w:hAnsi="Times New Roman;serif"/>
          <w:b w:val="false"/>
          <w:i/>
          <w:color w:val="000000"/>
          <w:sz w:val="18"/>
        </w:rPr>
        <w:t xml:space="preserve">Item 2—Management’s </w:t>
      </w:r>
      <w:hyperlink w:anchor="icf7eea802477409a89849483e9a26ba5_181">
        <w:r>
          <w:rPr>
            <w:rStyle w:val="InternetLink"/>
            <w:rFonts w:ascii="Times New Roman;serif" w:hAnsi="Times New Roman;serif"/>
            <w:b w:val="false"/>
            <w:i/>
            <w:strike w:val="false"/>
            <w:dstrike w:val="false"/>
            <w:color w:val="000000"/>
            <w:sz w:val="18"/>
            <w:u w:val="none"/>
            <w:effect w:val="none"/>
          </w:rPr>
          <w:t>Discussion and Analysis of Financial Condition and Results of Operations</w:t>
        </w:r>
      </w:hyperlink>
      <w:r>
        <w:rPr>
          <w:color w:val="000000"/>
        </w:rPr>
        <w:t xml:space="preserve">” </w:t>
      </w:r>
      <w:r>
        <w:rPr>
          <w:rFonts w:ascii="Times New Roman;serif" w:hAnsi="Times New Roman;serif"/>
          <w:b w:val="false"/>
          <w:color w:val="000000"/>
          <w:sz w:val="18"/>
        </w:rPr>
        <w:t>of this Quarterly Report.</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CONDENSED CONSOLIDATED BALANCE SHEETS (UNAUDITED)</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(In thousands, except share amounts)</w:t>
      </w:r>
    </w:p>
    <w:tbl>
      <w:tblPr>
        <w:tblW w:w="10205" w:type="dxa"/>
        <w:jc w:val="left"/>
        <w:tblInd w:w="0" w:type="dxa"/>
        <w:tblLayout w:type="fixed"/>
        <w:tblCellMar>
          <w:top w:w="28" w:type="dxa"/>
          <w:left w:w="28" w:type="dxa"/>
          <w:bottom w:w="28" w:type="dxa"/>
          <w:right w:w="28" w:type="dxa"/>
        </w:tblCellMar>
      </w:tblPr>
      <w:tblGrid>
        <w:gridCol w:w="2823"/>
        <w:gridCol w:w="2317"/>
        <w:gridCol w:w="2340"/>
        <w:gridCol w:w="196"/>
        <w:gridCol w:w="871"/>
        <w:gridCol w:w="109"/>
        <w:gridCol w:w="109"/>
        <w:gridCol w:w="109"/>
        <w:gridCol w:w="109"/>
        <w:gridCol w:w="196"/>
        <w:gridCol w:w="871"/>
        <w:gridCol w:w="155"/>
      </w:tblGrid>
      <w:tr>
        <w:trPr/>
        <w:tc>
          <w:tcPr>
            <w:tcW w:w="2823"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receivables (1)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and other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 and other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960,460 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shares, no par value, 6,666,666 shares authorized, 2,027,147 shares issued and outstanding as of both March 31, 2026 and December 31, 2025; aggregate liquidation preference of $60,814 as of both March 31,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ordinary shares, no par value, 666,666,666 shares authorized, 71,486,867 and 70,747,357 shares issued and outstanding as of March 31,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ordinary shares, no par value, 166,666,666 shares authorized, 11,288,577 shares issued and outstanding as of both March 31,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(862,654)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Pagaya Technologies Ltd.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Redeemable Convertible Preferred Shares,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1,545,914 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8"/>
        </w:rPr>
        <w:t>(1) Includes related party fee receivables of $108.9 million</w:t>
      </w:r>
      <w:r>
        <w:rPr>
          <w:color w:val="000000"/>
        </w:rPr>
        <w:t xml:space="preserve"> </w:t>
      </w:r>
      <w:r>
        <w:rPr>
          <w:rFonts w:ascii="Times New Roman;serif" w:hAnsi="Times New Roman;serif"/>
          <w:b w:val="false"/>
          <w:color w:val="000000"/>
          <w:sz w:val="18"/>
        </w:rPr>
        <w:t>and $106.9 million and related party other assets of $41.1 million and $42.6 million, as of March 31, 2026 and December 31, 2025, respectively. See Note 11 for additional information regarding transactions with related parties.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INCOME (UNAUDITED)</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(In thousands, except share and per share data) </w:t>
      </w:r>
    </w:p>
    <w:p>
      <w:pPr>
        <w:pStyle w:val="TextBody"/>
        <w:bidi w:val="0"/>
        <w:spacing w:before="0" w:after="0"/>
        <w:jc w:val="left"/>
        <w:rPr/>
      </w:pPr>
      <w:r>
        <w:rPr/>
      </w:r>
    </w:p>
    <w:tbl>
      <w:tblPr>
        <w:tblW w:w="7989" w:type="dxa"/>
        <w:jc w:val="left"/>
        <w:tblInd w:w="0" w:type="dxa"/>
        <w:tblLayout w:type="fixed"/>
        <w:tblCellMar>
          <w:top w:w="28" w:type="dxa"/>
          <w:left w:w="28" w:type="dxa"/>
          <w:bottom w:w="28" w:type="dxa"/>
          <w:right w:w="28" w:type="dxa"/>
        </w:tblCellMar>
      </w:tblPr>
      <w:tblGrid>
        <w:gridCol w:w="1788"/>
        <w:gridCol w:w="1565"/>
        <w:gridCol w:w="1581"/>
        <w:gridCol w:w="209"/>
        <w:gridCol w:w="788"/>
        <w:gridCol w:w="116"/>
        <w:gridCol w:w="116"/>
        <w:gridCol w:w="116"/>
        <w:gridCol w:w="116"/>
        <w:gridCol w:w="209"/>
        <w:gridCol w:w="788"/>
        <w:gridCol w:w="116"/>
        <w:gridCol w:w="109"/>
        <w:gridCol w:w="109"/>
        <w:gridCol w:w="109"/>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 (1)</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and Other Income</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Operating Expenses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 (2)</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net (2)</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from extinguishment of debt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Including Noncontrolling Interests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Attributable to Pagaya Technologies Ltd.</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Earnings per share attributable to Pagaya Technologies Ltd.’s </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ordinary shareholders (Note 12):</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82,717,374 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75,765,080 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96,745,000 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77,043,464 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(1) Includes related party revenues of $158.9 million and $167.9 million for the three months ended March 31, 2026 and 2025, respectively. See Note 11 for additional information regarding transactions with related parties.</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(2) Prior period amounts have been reclassified to conform to the current period’s presentation.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COMPREHENSIVE INCOME (LOSS) (UNAUDITED)</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before="0" w:after="0"/>
        <w:jc w:val="left"/>
        <w:rPr/>
      </w:pPr>
      <w:r>
        <w:rPr/>
      </w:r>
    </w:p>
    <w:tbl>
      <w:tblPr>
        <w:tblW w:w="8948" w:type="dxa"/>
        <w:jc w:val="left"/>
        <w:tblInd w:w="0" w:type="dxa"/>
        <w:tblLayout w:type="fixed"/>
        <w:tblCellMar>
          <w:top w:w="28" w:type="dxa"/>
          <w:left w:w="28" w:type="dxa"/>
          <w:bottom w:w="28" w:type="dxa"/>
          <w:right w:w="28" w:type="dxa"/>
        </w:tblCellMar>
      </w:tblPr>
      <w:tblGrid>
        <w:gridCol w:w="2054"/>
        <w:gridCol w:w="1804"/>
        <w:gridCol w:w="1812"/>
        <w:gridCol w:w="228"/>
        <w:gridCol w:w="753"/>
        <w:gridCol w:w="127"/>
        <w:gridCol w:w="127"/>
        <w:gridCol w:w="127"/>
        <w:gridCol w:w="127"/>
        <w:gridCol w:w="228"/>
        <w:gridCol w:w="735"/>
        <w:gridCol w:w="127"/>
        <w:gridCol w:w="109"/>
        <w:gridCol w:w="109"/>
        <w:gridCol w:w="109"/>
        <w:gridCol w:w="109"/>
        <w:gridCol w:w="109"/>
        <w:gridCol w:w="154"/>
      </w:tblGrid>
      <w:tr>
        <w:trPr/>
        <w:tc>
          <w:tcPr>
            <w:tcW w:w="205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Including Noncontrolling Interests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non-credit related adjustments to investment securities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Including Noncontrolling Interests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(loss) attributable to noncontrolling interests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Pagaya Technologies Ltd.</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(7,989)</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CONDENSED CONSOLIDATED STATEMENT OF CHANGES IN REDEEMABLE CONVERTIBLE PREFERRED SHARES AND SHAREHOLDERS’ EQUITY (UNAUDITED) </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(In thousands, except share amounts) </w:t>
      </w:r>
    </w:p>
    <w:tbl>
      <w:tblPr>
        <w:tblW w:w="14090" w:type="dxa"/>
        <w:jc w:val="left"/>
        <w:tblInd w:w="0" w:type="dxa"/>
        <w:tblLayout w:type="fixed"/>
        <w:tblCellMar>
          <w:top w:w="28" w:type="dxa"/>
          <w:left w:w="28" w:type="dxa"/>
          <w:bottom w:w="28" w:type="dxa"/>
          <w:right w:w="28" w:type="dxa"/>
        </w:tblCellMar>
      </w:tblPr>
      <w:tblGrid>
        <w:gridCol w:w="469"/>
        <w:gridCol w:w="268"/>
        <w:gridCol w:w="269"/>
        <w:gridCol w:w="383"/>
        <w:gridCol w:w="383"/>
        <w:gridCol w:w="143"/>
        <w:gridCol w:w="109"/>
        <w:gridCol w:w="109"/>
        <w:gridCol w:w="109"/>
        <w:gridCol w:w="181"/>
        <w:gridCol w:w="571"/>
        <w:gridCol w:w="109"/>
        <w:gridCol w:w="109"/>
        <w:gridCol w:w="109"/>
        <w:gridCol w:w="109"/>
        <w:gridCol w:w="109"/>
        <w:gridCol w:w="109"/>
        <w:gridCol w:w="109"/>
        <w:gridCol w:w="420"/>
        <w:gridCol w:w="421"/>
        <w:gridCol w:w="181"/>
        <w:gridCol w:w="109"/>
        <w:gridCol w:w="109"/>
        <w:gridCol w:w="109"/>
        <w:gridCol w:w="181"/>
        <w:gridCol w:w="406"/>
        <w:gridCol w:w="109"/>
        <w:gridCol w:w="109"/>
        <w:gridCol w:w="109"/>
        <w:gridCol w:w="109"/>
        <w:gridCol w:w="181"/>
        <w:gridCol w:w="766"/>
        <w:gridCol w:w="109"/>
        <w:gridCol w:w="109"/>
        <w:gridCol w:w="109"/>
        <w:gridCol w:w="109"/>
        <w:gridCol w:w="230"/>
        <w:gridCol w:w="726"/>
        <w:gridCol w:w="140"/>
        <w:gridCol w:w="109"/>
        <w:gridCol w:w="109"/>
        <w:gridCol w:w="109"/>
        <w:gridCol w:w="181"/>
        <w:gridCol w:w="656"/>
        <w:gridCol w:w="109"/>
        <w:gridCol w:w="109"/>
        <w:gridCol w:w="109"/>
        <w:gridCol w:w="109"/>
        <w:gridCol w:w="194"/>
        <w:gridCol w:w="694"/>
        <w:gridCol w:w="118"/>
        <w:gridCol w:w="109"/>
        <w:gridCol w:w="109"/>
        <w:gridCol w:w="109"/>
        <w:gridCol w:w="226"/>
        <w:gridCol w:w="808"/>
        <w:gridCol w:w="137"/>
        <w:gridCol w:w="109"/>
        <w:gridCol w:w="109"/>
        <w:gridCol w:w="109"/>
        <w:gridCol w:w="193"/>
        <w:gridCol w:w="692"/>
        <w:gridCol w:w="166"/>
      </w:tblGrid>
      <w:tr>
        <w:trPr/>
        <w:tc>
          <w:tcPr>
            <w:tcW w:w="4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Redeemable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Ordinary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Pagaya Technologies Ltd. Shareholders’ 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Shareholders’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December 31, 2024</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73,879,982 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(11,488)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(944,043)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326,491 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115,055 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441,546 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exercise of share options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381,271 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vesting of RSUs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1,113,823 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purchase of shares under employee stock purchase plan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55,876 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of capital to interests in consolidated VIEs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(4,439)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(15,882)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(15,882)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March 31, 2025</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75,430,952 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(27,370)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(936,150)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335,490 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105,313 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440,803 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December 31, 2025</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2,027,147 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82,035,934 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1,390,990 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(48,319)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(862,654)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480,017 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75,334 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555,351 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exercise of share options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vesting of RSUs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655,150 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purchase of shares under employee stock purchase plan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66,814 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of capital to interests in consolidated VIEs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(6,126)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16,043 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24,694 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24,161 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March 31, 2026</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2,027,147 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82,775,444 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1,399,545 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(32,276)</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(837,960)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529,309 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69,843 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599,152 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p>
      <w:pPr>
        <w:pStyle w:val="TextBody"/>
        <w:bidi w:val="0"/>
        <w:spacing w:lineRule="auto" w:line="312" w:before="0" w:after="0"/>
        <w:jc w:val="left"/>
        <w:rPr/>
      </w:pPr>
      <w:r>
        <w:rPr>
          <w:rFonts w:ascii="Times New Roman;serif" w:hAnsi="Times New Roman;serif"/>
          <w:b/>
          <w:color w:val="000000"/>
          <w:sz w:val="18"/>
        </w:rPr>
        <w:t>(In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850"/>
        <w:gridCol w:w="2338"/>
        <w:gridCol w:w="2344"/>
        <w:gridCol w:w="196"/>
        <w:gridCol w:w="736"/>
        <w:gridCol w:w="109"/>
        <w:gridCol w:w="109"/>
        <w:gridCol w:w="109"/>
        <w:gridCol w:w="109"/>
        <w:gridCol w:w="196"/>
        <w:gridCol w:w="736"/>
        <w:gridCol w:w="109"/>
        <w:gridCol w:w="109"/>
        <w:gridCol w:w="155"/>
      </w:tblGrid>
      <w:tr>
        <w:trPr/>
        <w:tc>
          <w:tcPr>
            <w:tcW w:w="2850"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64" w:type="dxa"/>
            <w:gridSpan w:val="2"/>
            <w:tcBorders/>
          </w:tcPr>
          <w:p>
            <w:pPr>
              <w:pStyle w:val="TableContents"/>
              <w:bidi w:val="0"/>
              <w:spacing w:before="0" w:after="283"/>
              <w:jc w:val="left"/>
              <w:rPr>
                <w:sz w:val="4"/>
                <w:szCs w:val="4"/>
              </w:rPr>
            </w:pPr>
            <w:r>
              <w:rPr>
                <w:sz w:val="4"/>
                <w:szCs w:val="4"/>
              </w:rPr>
            </w:r>
          </w:p>
        </w:tc>
      </w:tr>
      <w:tr>
        <w:trPr/>
        <w:tc>
          <w:tcPr>
            <w:tcW w:w="7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including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and other investments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adjustment to 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and losses on investments in loans and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from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 of capitalized software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on foreign exchange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maturity and prepayment of investments in loans and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acquired from Theorem Technology, Inc.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 in loans and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secured borrowing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warrants and contributions to ESPP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made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to secured borrowing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to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Effect of exchange rate changes on cash and cash equivalents, and restricted cash and cash equivalents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increase in cash and cash equivalents, and restricted cash and cash equivalents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and restricted 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Reconciliation of cash and cash equivalents, and restricted cash and cash equivalents within the unaudited condensed consolidated balance sheet to the amounts shown in the statements of cash flow above: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cash and cash equivalents, and restricted cash and cash equivalents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(1) Prior period amounts have been reclassified to conform to the current period’s presentation.</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1 - BUSINESS DESCRIPTION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Technologies Ltd. and its consolidated subsidiaries (together “we” “our” “Pagaya” or the “Company”) is a technology company that deploys sophisticated data science and proprietary AI technology to drive better results for financial services and other service providers, their customers, and asset investors. Service providers integrated with Pagaya’s network, which are referred to as “Partners,” range from high-growth financial technology companies to incumbent banks and financial institutions and auto finance providers. Partners have access to Pagaya’s network in order to assist with extending financial products to their customers, in turn helping those customers fulfill their financial needs and dreams. These assets originated by Partners with the assistance of Pagaya’s AI technology are eligible to be acquired by (i) funds managed or advised by Pagaya or one of its affiliates, (ii) securitization vehicles sponsored or administered by Pagaya or one of its affiliates, (iii) special purpose vehicles established by third-party investors to facilitate the purchase of assets under forward flow agreements and (iv) other similar vehicles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Technologies Ltd. was founded in 2016 and is organized under the laws of the State of Israel. Pagaya has its primary offices in the United States and Israel.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18"/>
        </w:rPr>
      </w:pPr>
      <w:r>
        <w:rPr>
          <w:rFonts w:ascii="Times New Roman;serif" w:hAnsi="Times New Roman;serif"/>
          <w:b/>
          <w:color w:val="000000"/>
          <w:sz w:val="18"/>
        </w:rPr>
        <w:t xml:space="preserve">NOTE 2 - SUMMARY OF SIGNIFICANT ACCOUNTING POLICIES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Basis of Presentation and Principles of Consolidation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unaudited condensed consolidated financial statements have been prepared in conformity with accounting principles generally accepted in the United States of America (“U.S. GAAP”) and include the accounts of the Company, its wholly-owned subsidiaries, and consolidated variable interest entities (“VIEs”) if 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unaudited condensed consolidated financial statements were derived from the audited consolidated financial statements, but do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the related notes thereto as of and for the year ended December 31, 2025 included in the Company’s Annual Report on Form 10-K.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All intercompany accounts and transactions have been eliminated. The Company’s functional and reporting currency is the U.S. Dollar. In management’s opinion, the unaudited condensed consolidated financial statements have been prepared on the same basis as the annual consolidated financial statements, except as noted below, and reflect all adjustments, which include only normal recurring adjustments necessary for the fair presentation of the Company’s financial position as of March 31, 2026 and the Company’s consolidated results of operations, shareholders’ equity and cash flows for the three months ended March 31, 2026 and 2025. The results for the three months ended March 31, 2026 are not necessarily indicative of the results to be expected for the full year ending December 31, 2026 or any other future interim or annual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Significant Accounting Estimates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quarter of 2026, the Company completed an assessment of the useful lives of its software capitalization and adjusted the estimated useful life, from an average of two years to an average of three years, effective on January 1, 2026. Refer to the Company’s accounting policies from those disclosed in Note 2, Summary of Significant Accounting Policies, in the Company’s Annual Report on Form 10-K for the year ended December 31, 2025, which was filed with the SEC on March 2, 2026.</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color w:val="000000"/>
          <w:sz w:val="18"/>
        </w:rPr>
      </w:pPr>
      <w:r>
        <w:rPr>
          <w:rFonts w:ascii="Times New Roman;serif" w:hAnsi="Times New Roman;serif"/>
          <w:b/>
          <w:color w:val="000000"/>
          <w:sz w:val="18"/>
        </w:rPr>
        <w:t>Recent Accounting Pronouncements Not Yet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November 2024, the FASB issued ASU 2024-03, Income Statement - Reporting Comprehensive Income - Expense Disaggregation Disclosure (Subtopic 220-40), Disaggregation of Income Statement Expenses, which requires disclosure of disaggregated information about certain expense captions presented in the consolidated statements of income as well as disclosure about selling expense. The effective date for this update was amended by ASU 2025-01 Income Statement-Reporting Comprehensive Income-Expense Disaggregation Disclosures (Subtopic 220-40): Clarifying the Effective Date, and is now effective for annual periods beginning after December 15, 2026, and interim reporting periods within annual reporting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beginning after December 15, 2027. It could be applied either prospectively or retrospectively. The Company is currently evaluating the impact of these amendments on its consolidated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September 2025, the FASB issued ASU 2025-06, Intangibles—Goodwill and Other—Internal-Use Software (Subtopic 350-40): Targeted Improvements to the Accounting for Internal-Use Software,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ASU 2025-06 guidance is effective for annual periods beginning after December 15, 2027. The guidance can be applied on a prospective basis, a modified basis for in-process projects or on a retrospective basis. The Company does not expect the adoption of these amendments to have a significant impact on its consolidated financial statements or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November 2025, the FASB issued ASU 2025-08, Financial Instruments - Credit Losses (Topic 326). The amendments in this update expand the use of the gross-up approach to certain acquired loans beyond purchased financial assets with credit deterioration. The new guidance is effective for annual reporting periods beginning after December 15, 2026, with early adoption permitted. The amendments in this update must be adopted prospectively to loans that are acquired on or after the initial application date. The Company does not expect the adoption of these amendments to have a significant impact on its consolidated financial statements or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December 2025, the FASB issued ASU 2025-10, Government Grants (Topic 832): Accounting for Government Grants Received by Business Entities. The update provides recognition, measurement, presentation, and disclosure requirements for government grants, including guidance for grants related to an asset and grants related to income. The amendments introduced two permitted approaches for asset-related grants: a deferred income approach or a cost accumulation approach. The guidance is effective for the Company beginning December 15, 2028, with early adoption permitted. The Company is currently evaluating the impact on its consolidated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December 2025, the FASB issued ASU 2025-11, Interim Reporting (Topic 270) Narrow-Scope Improvements.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does not expect the adoption of these amendments to have a significant impact on its consolidated financial statements or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NOTE 3 -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Revenue from fees is comprised of Network AI fees and Contract fees. Network AI fees can be further broken down into two fee streams: AI integration fees and capital markets execution fees. AI integration fees are earned for the creation and delivery of assets that comprise Network Volume. The Company utilizes multiple funding channels to enable the purchase of network assets from Partners, such as asset backed securitizations (“ABS”), and forward flow arrangements. Capital markets execution fees are earned from the market pricing of ABS transactions, as well as upon the execution of forward flow transactions, while contract fees are management, performance and similar fees. These fees are the result of agreements with customers and are recognized in accordance with FASB Accounting Standards Codification 606, “Revenue from Contracts with Customers” (“ASC 606”).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Revenue is recognized in accordance with ASC 606 with revenue recorded on a gross basis when the Company is a principal in the transaction with customers, and recorded on a net basis when the Company is acting as an agent on behalf of another. The Company generally recognizes revenue on a gross basis because the Company is primarily responsible for integrating the various services fulfilled by Partners and is ultimately responsible to the Financing Vehicles for the fulfillment of the related services. To the extent the Company does not meet the criteria for recognizing revenue on a gross basis, the Company records revenue on a net basis.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Network AI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Network AI fees, comprised of AI integration fees and capital markets execution fees, totaled $266.9 million and $251.5 million for the three months ended March 31, 2026 and 2025, respectively. The Company recognizes Network AI fees primarily at a point in time when the related performance obligation is satisfied and the payment term is generally 30 days. From time to time the Company may provide certain incentives to a customer. When the Company determines that an incentive is consideration payable, which is not in exchange for distinct goods or services, to a customer, the incentive is recorded as a reduction of revenue. Expenses to third parties for services that are integrated with the Company’s technology are recorded in the unaudited condensed consolidated statements of income as Production Costs.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Contract Fees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Contract fees include administration and management fees, performances fees, and servicing fees. Contract fees totaled $32.1 million and $31.2 million for the three months ended March 31, 2026 and 2025, respectively. All of these fees are recognized over the service period for the Financing Vehicles managed or administered by the Company and the payment term is monthly as a fixed percentage of the entity’s assets, except for the portion of management fees that are recognized at the point in time based on contract terms. The Company includes variable consideration in the transaction price only to the extent that it is probable that a significant reversal in the amount of cumulative revenue recognized will not occur; to date, adjustments to these estimates have not resulted in a significant reversal of previously recognized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Performance fees are earned when certain Fund Financing Vehicles exceed contractual return thresholds. The Company recognizes these fees only to the extent that it is probable that a significant reversal of cumulative revenue will not occur. The Company initially estimates these fees based on a variety of factors including market conditions and expected loan performance. In the subsequent periods, the Company measures actual performance and adjusts our recognized revenue accordingly. Because of these adjustments, the Company may recognize additional revenue or reverse previously recognized revenue related to performance obligations satisfied in prior years. During the three months ended March 31, 2026 and 2025, the Company recognized $0.1 million and $0.6 million, respectively, in performance fee revenue related to performance obligations satisfied in prior years.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Servicing fees for the Financing Vehicles, which primarily involve collecting payments and providing reporting on the loans within the securitization vehicles, are recognized over the service period and payment is received monthly from the Financing Vehicles. These duties have been considered to be agent responsibilities and do not include acting as a loan servicer. Accordingly, servicing fees are recorded on a net basis.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Revenue From Fees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determines its contracts generally to not include a significant financing component since the Company's selling prices are not subjected to billing terms nor is its purpose to receive financing from its customers or to provide customers with financing. In addition, as a practical expedient, the Company does not adjust the transaction price for the effects of a significant financing component if, at contract inception, the period between payment and the transfer of services is expected to be one year or less.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Once revenue is recognized, it is recorded on the unaudited condensed consolidated balance sheets in fee receivables until the payment is received from the customer. The timing of the recognition depends on the type of service as described above.  </w:t>
      </w:r>
    </w:p>
    <w:tbl>
      <w:tblPr>
        <w:tblW w:w="5800" w:type="dxa"/>
        <w:jc w:val="left"/>
        <w:tblInd w:w="0" w:type="dxa"/>
        <w:tblLayout w:type="fixed"/>
        <w:tblCellMar>
          <w:top w:w="28" w:type="dxa"/>
          <w:left w:w="28" w:type="dxa"/>
          <w:bottom w:w="28" w:type="dxa"/>
          <w:right w:w="28" w:type="dxa"/>
        </w:tblCellMar>
      </w:tblPr>
      <w:tblGrid>
        <w:gridCol w:w="994"/>
        <w:gridCol w:w="874"/>
        <w:gridCol w:w="877"/>
        <w:gridCol w:w="209"/>
        <w:gridCol w:w="788"/>
        <w:gridCol w:w="116"/>
        <w:gridCol w:w="116"/>
        <w:gridCol w:w="116"/>
        <w:gridCol w:w="116"/>
        <w:gridCol w:w="209"/>
        <w:gridCol w:w="788"/>
        <w:gridCol w:w="116"/>
        <w:gridCol w:w="109"/>
        <w:gridCol w:w="109"/>
        <w:gridCol w:w="109"/>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at a point in time</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over time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from fees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298,991 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282,704 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timing of the revenue recognition may differ from the timing of payment from customers. A contract asset is the Company’s right to consideration in exchange for goods or services that the Company has transferred to a customer when that right is conditioned on something other than the passage of time. A right that is unconditional (only the passage of time until payment remains) is presented as a receivable, not a contract asset. A contract liability is the Company’s obligation to transfer goods or services to a customer for which the Company has received consideration from the customer. As of March 31, 2026 and December 31, 2025, contract assets and contract liabilities from contracts with customers were $9.4 million and $13.0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and $8.5 million and $8.0 million, respectively, which are included in other assets and accrued expenses and other liabilities, respectively, on the unaudited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Concentrations of Credit Risk and Significant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instruments, which potentially subject the Company to concentration of credit risk, consist primarily of cash and cash equivalents, restricted cash and cash equivalents and fees receivable. Cash and cash equivalents are principally maintained with major financial institutions, which management assesses to be of high credit quality. The Company has not experienced any losses on these deposits.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fees receivable balances are predominantly with agreements with customers, and these are subject to normal credit risks which management believes to be not significant.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Significant customers are those which represent 10% or more of the Company’s total fee revenue for each respective period presented. One related party customer represented greater than 10% of total fee revenue and totaled approximately 20% for three months ended March 31, 2026. Two related party customers individually represented greater than 10% of total fee revenue and collectively totaled approximately 35% for the three months ended March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18"/>
        </w:rPr>
      </w:pPr>
      <w:r>
        <w:rPr>
          <w:rFonts w:ascii="Times New Roman;serif" w:hAnsi="Times New Roman;serif"/>
          <w:b/>
          <w:color w:val="000000"/>
          <w:sz w:val="18"/>
        </w:rPr>
        <w:t>NOTE 4 -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our investments in loans and securities portfolio consisted of (i) Investments in Securities Available for Sale (“AFS securities”) under ASC 325-40 held at fair value with credit related changes recorded in earnings and non-credit related changes recorded in other comprehensive income; and (ii) investments in loans and securities held at fair value under the fair value option, with changes in fair value recorded in earnings. Below is a disaggregated presentation of our investments in loans and securities, including fair value adjustments, accrued interest income and net of the allowance for credit losses, as applicable (in thousands):</w:t>
      </w:r>
    </w:p>
    <w:tbl>
      <w:tblPr>
        <w:tblW w:w="8157" w:type="dxa"/>
        <w:jc w:val="left"/>
        <w:tblInd w:w="0" w:type="dxa"/>
        <w:tblLayout w:type="fixed"/>
        <w:tblCellMar>
          <w:top w:w="28" w:type="dxa"/>
          <w:left w:w="28" w:type="dxa"/>
          <w:bottom w:w="28" w:type="dxa"/>
          <w:right w:w="28" w:type="dxa"/>
        </w:tblCellMar>
      </w:tblPr>
      <w:tblGrid>
        <w:gridCol w:w="1793"/>
        <w:gridCol w:w="1574"/>
        <w:gridCol w:w="1583"/>
        <w:gridCol w:w="243"/>
        <w:gridCol w:w="912"/>
        <w:gridCol w:w="135"/>
        <w:gridCol w:w="109"/>
        <w:gridCol w:w="109"/>
        <w:gridCol w:w="109"/>
        <w:gridCol w:w="287"/>
        <w:gridCol w:w="1078"/>
        <w:gridCol w:w="225"/>
      </w:tblGrid>
      <w:tr>
        <w:trPr/>
        <w:tc>
          <w:tcPr>
            <w:tcW w:w="179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 available for sale</w:t>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445,554 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 available for sale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415,708 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471,661 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861,262 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867,378 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loans and securities, under the fair value option</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80,105 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77,891 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investments in loans and securities (1)</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941,367 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945,269 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18"/>
        </w:rPr>
        <w:t>(1) $489.2 million and $504.3 million</w:t>
      </w:r>
      <w:r>
        <w:rPr>
          <w:color w:val="000000"/>
        </w:rPr>
        <w:t xml:space="preserve"> </w:t>
      </w:r>
      <w:r>
        <w:rPr>
          <w:rFonts w:ascii="Times New Roman;serif" w:hAnsi="Times New Roman;serif"/>
          <w:b w:val="false"/>
          <w:color w:val="000000"/>
          <w:sz w:val="18"/>
        </w:rPr>
        <w:t>were held by the Company for regulatory risk retention purposes as of March 31,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Investments in Securities, Available for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has determined that it is the primary beneficiary of certain VIEs that were established to purchase its investments in Pagaya sponsored ABS notes and certificates. The portion of these consolidated VIEs that the Company does not own is accounted for as noncontrolling interest in the consolidated financial statements. Refer to Note 5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amortized cost, gross unrealized gains and losses, and fair value of AFS securities as of March 31, 2026 and December 31, 2025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016"/>
        <w:gridCol w:w="888"/>
        <w:gridCol w:w="893"/>
        <w:gridCol w:w="196"/>
        <w:gridCol w:w="871"/>
        <w:gridCol w:w="109"/>
        <w:gridCol w:w="109"/>
        <w:gridCol w:w="109"/>
        <w:gridCol w:w="109"/>
        <w:gridCol w:w="199"/>
        <w:gridCol w:w="656"/>
        <w:gridCol w:w="110"/>
        <w:gridCol w:w="109"/>
        <w:gridCol w:w="109"/>
        <w:gridCol w:w="109"/>
        <w:gridCol w:w="196"/>
        <w:gridCol w:w="701"/>
        <w:gridCol w:w="109"/>
        <w:gridCol w:w="109"/>
        <w:gridCol w:w="109"/>
        <w:gridCol w:w="109"/>
        <w:gridCol w:w="330"/>
        <w:gridCol w:w="1350"/>
        <w:gridCol w:w="183"/>
        <w:gridCol w:w="109"/>
        <w:gridCol w:w="109"/>
        <w:gridCol w:w="109"/>
        <w:gridCol w:w="196"/>
        <w:gridCol w:w="736"/>
        <w:gridCol w:w="158"/>
      </w:tblGrid>
      <w:tr>
        <w:trPr/>
        <w:tc>
          <w:tcPr>
            <w:tcW w:w="101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27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sale(2):</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79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(336,141)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(336,141)</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861,262 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7"/>
        <w:gridCol w:w="889"/>
        <w:gridCol w:w="894"/>
        <w:gridCol w:w="196"/>
        <w:gridCol w:w="871"/>
        <w:gridCol w:w="109"/>
        <w:gridCol w:w="109"/>
        <w:gridCol w:w="109"/>
        <w:gridCol w:w="109"/>
        <w:gridCol w:w="217"/>
        <w:gridCol w:w="620"/>
        <w:gridCol w:w="122"/>
        <w:gridCol w:w="109"/>
        <w:gridCol w:w="109"/>
        <w:gridCol w:w="109"/>
        <w:gridCol w:w="196"/>
        <w:gridCol w:w="701"/>
        <w:gridCol w:w="109"/>
        <w:gridCol w:w="109"/>
        <w:gridCol w:w="109"/>
        <w:gridCol w:w="109"/>
        <w:gridCol w:w="330"/>
        <w:gridCol w:w="1351"/>
        <w:gridCol w:w="184"/>
        <w:gridCol w:w="109"/>
        <w:gridCol w:w="109"/>
        <w:gridCol w:w="109"/>
        <w:gridCol w:w="196"/>
        <w:gridCol w:w="736"/>
        <w:gridCol w:w="159"/>
      </w:tblGrid>
      <w:tr>
        <w:trPr/>
        <w:tc>
          <w:tcPr>
            <w:tcW w:w="101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sale(2):</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(385,878)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(385,878)</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867,378 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(1) The difference between accumulated other comprehensive income (AOCI) and gross unrealized losses represents capitalized transaction costs which have been reclassified to AOCI and are amortized to interest income over the average life of the investments.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(2) Includes accrued interest receivable of $32.0 million and $25.8 million as of March 31, 2026 and December 31, 2025, respectively.</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tables set forth the fair value and gross unrealized losses on investments in AFS securities without an allowance for credit losses aggregated by investment category and length of time that individual securities had been in a continuous unrealized loss position, as of the dates indicated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3"/>
        <w:gridCol w:w="698"/>
        <w:gridCol w:w="703"/>
        <w:gridCol w:w="212"/>
        <w:gridCol w:w="602"/>
        <w:gridCol w:w="118"/>
        <w:gridCol w:w="118"/>
        <w:gridCol w:w="118"/>
        <w:gridCol w:w="118"/>
        <w:gridCol w:w="359"/>
        <w:gridCol w:w="634"/>
        <w:gridCol w:w="201"/>
        <w:gridCol w:w="109"/>
        <w:gridCol w:w="109"/>
        <w:gridCol w:w="109"/>
        <w:gridCol w:w="201"/>
        <w:gridCol w:w="572"/>
        <w:gridCol w:w="111"/>
        <w:gridCol w:w="109"/>
        <w:gridCol w:w="109"/>
        <w:gridCol w:w="109"/>
        <w:gridCol w:w="359"/>
        <w:gridCol w:w="634"/>
        <w:gridCol w:w="201"/>
        <w:gridCol w:w="109"/>
        <w:gridCol w:w="109"/>
        <w:gridCol w:w="109"/>
        <w:gridCol w:w="201"/>
        <w:gridCol w:w="572"/>
        <w:gridCol w:w="111"/>
        <w:gridCol w:w="109"/>
        <w:gridCol w:w="109"/>
        <w:gridCol w:w="109"/>
        <w:gridCol w:w="348"/>
        <w:gridCol w:w="616"/>
        <w:gridCol w:w="287"/>
      </w:tblGrid>
      <w:tr>
        <w:trPr/>
        <w:tc>
          <w:tcPr>
            <w:tcW w:w="80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3"/>
        <w:gridCol w:w="680"/>
        <w:gridCol w:w="684"/>
        <w:gridCol w:w="202"/>
        <w:gridCol w:w="667"/>
        <w:gridCol w:w="112"/>
        <w:gridCol w:w="112"/>
        <w:gridCol w:w="112"/>
        <w:gridCol w:w="112"/>
        <w:gridCol w:w="312"/>
        <w:gridCol w:w="694"/>
        <w:gridCol w:w="175"/>
        <w:gridCol w:w="109"/>
        <w:gridCol w:w="109"/>
        <w:gridCol w:w="109"/>
        <w:gridCol w:w="201"/>
        <w:gridCol w:w="571"/>
        <w:gridCol w:w="111"/>
        <w:gridCol w:w="109"/>
        <w:gridCol w:w="109"/>
        <w:gridCol w:w="109"/>
        <w:gridCol w:w="355"/>
        <w:gridCol w:w="627"/>
        <w:gridCol w:w="199"/>
        <w:gridCol w:w="109"/>
        <w:gridCol w:w="109"/>
        <w:gridCol w:w="109"/>
        <w:gridCol w:w="196"/>
        <w:gridCol w:w="646"/>
        <w:gridCol w:w="109"/>
        <w:gridCol w:w="109"/>
        <w:gridCol w:w="109"/>
        <w:gridCol w:w="109"/>
        <w:gridCol w:w="305"/>
        <w:gridCol w:w="680"/>
        <w:gridCol w:w="252"/>
      </w:tblGrid>
      <w:tr>
        <w:trPr/>
        <w:tc>
          <w:tcPr>
            <w:tcW w:w="78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tables set forth the amortized cost and fair value of investments in AFS securities by contractual maturities, as of the date indicated (in thousands):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6"/>
        <w:gridCol w:w="549"/>
        <w:gridCol w:w="552"/>
        <w:gridCol w:w="215"/>
        <w:gridCol w:w="709"/>
        <w:gridCol w:w="119"/>
        <w:gridCol w:w="109"/>
        <w:gridCol w:w="109"/>
        <w:gridCol w:w="109"/>
        <w:gridCol w:w="196"/>
        <w:gridCol w:w="646"/>
        <w:gridCol w:w="109"/>
        <w:gridCol w:w="109"/>
        <w:gridCol w:w="109"/>
        <w:gridCol w:w="109"/>
        <w:gridCol w:w="220"/>
        <w:gridCol w:w="981"/>
        <w:gridCol w:w="122"/>
        <w:gridCol w:w="122"/>
        <w:gridCol w:w="122"/>
        <w:gridCol w:w="122"/>
        <w:gridCol w:w="220"/>
        <w:gridCol w:w="829"/>
        <w:gridCol w:w="122"/>
        <w:gridCol w:w="109"/>
        <w:gridCol w:w="109"/>
        <w:gridCol w:w="109"/>
        <w:gridCol w:w="202"/>
        <w:gridCol w:w="897"/>
        <w:gridCol w:w="112"/>
        <w:gridCol w:w="109"/>
        <w:gridCol w:w="109"/>
        <w:gridCol w:w="109"/>
        <w:gridCol w:w="196"/>
        <w:gridCol w:w="736"/>
        <w:gridCol w:w="163"/>
      </w:tblGrid>
      <w:tr>
        <w:trPr/>
        <w:tc>
          <w:tcPr>
            <w:tcW w:w="63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 (1):</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427,470 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443,646 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445,554 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704,664 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747,624 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60,749 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1,130,521 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841,103 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1,191,270 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861,262 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636"/>
        <w:gridCol w:w="549"/>
        <w:gridCol w:w="552"/>
        <w:gridCol w:w="215"/>
        <w:gridCol w:w="709"/>
        <w:gridCol w:w="119"/>
        <w:gridCol w:w="109"/>
        <w:gridCol w:w="109"/>
        <w:gridCol w:w="109"/>
        <w:gridCol w:w="196"/>
        <w:gridCol w:w="646"/>
        <w:gridCol w:w="109"/>
        <w:gridCol w:w="109"/>
        <w:gridCol w:w="109"/>
        <w:gridCol w:w="109"/>
        <w:gridCol w:w="220"/>
        <w:gridCol w:w="981"/>
        <w:gridCol w:w="122"/>
        <w:gridCol w:w="122"/>
        <w:gridCol w:w="122"/>
        <w:gridCol w:w="122"/>
        <w:gridCol w:w="220"/>
        <w:gridCol w:w="829"/>
        <w:gridCol w:w="122"/>
        <w:gridCol w:w="109"/>
        <w:gridCol w:w="109"/>
        <w:gridCol w:w="109"/>
        <w:gridCol w:w="202"/>
        <w:gridCol w:w="897"/>
        <w:gridCol w:w="112"/>
        <w:gridCol w:w="109"/>
        <w:gridCol w:w="109"/>
        <w:gridCol w:w="109"/>
        <w:gridCol w:w="196"/>
        <w:gridCol w:w="736"/>
        <w:gridCol w:w="163"/>
      </w:tblGrid>
      <w:tr>
        <w:trPr/>
        <w:tc>
          <w:tcPr>
            <w:tcW w:w="63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 (1):</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379,938 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395,717 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831,471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471,661</w:t>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1,211,409 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838,281 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1,269,386 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867,378 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 Based on expected maturity date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gross proceeds and related investment gains and losses, as well as losses on write-downs and the allowance for credit losses of AFS securities, for the periods indicated (in thousands):</w:t>
      </w:r>
    </w:p>
    <w:tbl>
      <w:tblPr>
        <w:tblW w:w="7581" w:type="dxa"/>
        <w:jc w:val="left"/>
        <w:tblInd w:w="0" w:type="dxa"/>
        <w:tblLayout w:type="fixed"/>
        <w:tblCellMar>
          <w:top w:w="28" w:type="dxa"/>
          <w:left w:w="28" w:type="dxa"/>
          <w:bottom w:w="28" w:type="dxa"/>
          <w:right w:w="28" w:type="dxa"/>
        </w:tblCellMar>
      </w:tblPr>
      <w:tblGrid>
        <w:gridCol w:w="1559"/>
        <w:gridCol w:w="1368"/>
        <w:gridCol w:w="1377"/>
        <w:gridCol w:w="218"/>
        <w:gridCol w:w="819"/>
        <w:gridCol w:w="121"/>
        <w:gridCol w:w="121"/>
        <w:gridCol w:w="121"/>
        <w:gridCol w:w="121"/>
        <w:gridCol w:w="218"/>
        <w:gridCol w:w="718"/>
        <w:gridCol w:w="121"/>
        <w:gridCol w:w="109"/>
        <w:gridCol w:w="109"/>
        <w:gridCol w:w="109"/>
        <w:gridCol w:w="109"/>
        <w:gridCol w:w="109"/>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sales/maturities/prepayments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investment gains from sales/maturities/prepayments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investment losses from sales/maturities/prepayments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charged against the allowance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Reductions to allowance for credit losses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the activity in the allowance for credit losses for investments in AFS securitization certificates, as of the dates indicated (in thousands):</w:t>
      </w:r>
    </w:p>
    <w:p>
      <w:pPr>
        <w:pStyle w:val="TextBody"/>
        <w:bidi w:val="0"/>
        <w:spacing w:before="0" w:after="0"/>
        <w:jc w:val="both"/>
        <w:rPr/>
      </w:pPr>
      <w:r>
        <w:rPr/>
      </w:r>
    </w:p>
    <w:tbl>
      <w:tblPr>
        <w:tblW w:w="7419" w:type="dxa"/>
        <w:jc w:val="left"/>
        <w:tblInd w:w="0" w:type="dxa"/>
        <w:tblLayout w:type="fixed"/>
        <w:tblCellMar>
          <w:top w:w="28" w:type="dxa"/>
          <w:left w:w="28" w:type="dxa"/>
          <w:bottom w:w="28" w:type="dxa"/>
          <w:right w:w="28" w:type="dxa"/>
        </w:tblCellMar>
      </w:tblPr>
      <w:tblGrid>
        <w:gridCol w:w="1738"/>
        <w:gridCol w:w="1527"/>
        <w:gridCol w:w="1535"/>
        <w:gridCol w:w="197"/>
        <w:gridCol w:w="817"/>
        <w:gridCol w:w="109"/>
        <w:gridCol w:w="109"/>
        <w:gridCol w:w="109"/>
        <w:gridCol w:w="109"/>
        <w:gridCol w:w="197"/>
        <w:gridCol w:w="817"/>
        <w:gridCol w:w="155"/>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securitization certificates, available for sale:</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(508,741)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allowance for credit losses not previously recorded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Reductions from sales/maturities/prepayments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Additions on securities with previous allowance, net of reductions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(462,436)</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Refer to Note 7 for additional information regarding the allowance for credit losses for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Investments in loans and securities, under the fair value option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 We elected the fair value option to measure certain securities and all loans held by the company, as we believe that fair value best reflects the economic transaction of investing in certain securities and all loans. We determined the fair value of these securities and loans using a discounted cash flow methodology, while also considering market data as it became available. We record the initial fair value measurement and subsequent measurement changes in fair value in the period in which the changes occur within the gains and (losses) on investments in loans and securities in the unaudited condensed consolidated statements of income. We report the changes in fair value within (gains) and losses on investments in loans and securities in the unaudited condensed consolidated statements of cash flow.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activities of investments in loans and securities for which we elected the fair value option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tbl>
      <w:tblPr>
        <w:tblW w:w="7963" w:type="dxa"/>
        <w:jc w:val="left"/>
        <w:tblInd w:w="0" w:type="dxa"/>
        <w:tblLayout w:type="fixed"/>
        <w:tblCellMar>
          <w:top w:w="28" w:type="dxa"/>
          <w:left w:w="28" w:type="dxa"/>
          <w:bottom w:w="28" w:type="dxa"/>
          <w:right w:w="28" w:type="dxa"/>
        </w:tblCellMar>
      </w:tblPr>
      <w:tblGrid>
        <w:gridCol w:w="1776"/>
        <w:gridCol w:w="1560"/>
        <w:gridCol w:w="1569"/>
        <w:gridCol w:w="254"/>
        <w:gridCol w:w="838"/>
        <w:gridCol w:w="141"/>
        <w:gridCol w:w="141"/>
        <w:gridCol w:w="141"/>
        <w:gridCol w:w="141"/>
        <w:gridCol w:w="254"/>
        <w:gridCol w:w="526"/>
        <w:gridCol w:w="141"/>
        <w:gridCol w:w="109"/>
        <w:gridCol w:w="109"/>
        <w:gridCol w:w="109"/>
        <w:gridCol w:w="154"/>
      </w:tblGrid>
      <w:tr>
        <w:trPr/>
        <w:tc>
          <w:tcPr>
            <w:tcW w:w="177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loans and securities under the fair value option</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77,891 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and interest payments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Gain on sale of investments in loans and securities </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transactions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80,105 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7 for additional information regarding the discounted cash methodology and the assumptions used for investments in loans and securities for which we elected the fair value option.</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color w:val="000000"/>
          <w:sz w:val="18"/>
        </w:rPr>
      </w:pPr>
      <w:r>
        <w:rPr>
          <w:rFonts w:ascii="Times New Roman;serif" w:hAnsi="Times New Roman;serif"/>
          <w:b/>
          <w:color w:val="000000"/>
          <w:sz w:val="18"/>
        </w:rPr>
        <w:t xml:space="preserve">Equity Method and Other Investments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investments, including those accounted for under the equity method, are included within Equity method and other investments in the unaudited condensed consolidated balance sheets as of March 31, 2026 and December 31, 2025 (in thousands): </w:t>
      </w:r>
    </w:p>
    <w:p>
      <w:pPr>
        <w:pStyle w:val="TextBody"/>
        <w:bidi w:val="0"/>
        <w:spacing w:before="0" w:after="0"/>
        <w:jc w:val="both"/>
        <w:rPr/>
      </w:pPr>
      <w:r>
        <w:rPr/>
      </w:r>
    </w:p>
    <w:tbl>
      <w:tblPr>
        <w:tblW w:w="6909" w:type="dxa"/>
        <w:jc w:val="left"/>
        <w:tblInd w:w="0" w:type="dxa"/>
        <w:tblLayout w:type="fixed"/>
        <w:tblCellMar>
          <w:top w:w="28" w:type="dxa"/>
          <w:left w:w="28" w:type="dxa"/>
          <w:bottom w:w="28" w:type="dxa"/>
          <w:right w:w="28" w:type="dxa"/>
        </w:tblCellMar>
      </w:tblPr>
      <w:tblGrid>
        <w:gridCol w:w="1340"/>
        <w:gridCol w:w="1180"/>
        <w:gridCol w:w="1184"/>
        <w:gridCol w:w="266"/>
        <w:gridCol w:w="876"/>
        <w:gridCol w:w="147"/>
        <w:gridCol w:w="109"/>
        <w:gridCol w:w="109"/>
        <w:gridCol w:w="109"/>
        <w:gridCol w:w="313"/>
        <w:gridCol w:w="1031"/>
        <w:gridCol w:w="245"/>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Pagaya SmartResi F1 Fund, LP (1)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 owns approximately 5.4% and is the general partner of Pagaya Smartresi F1 Fund LP.</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(2) Represents the Company’s proprietary investments. Income (loss) from these investments is included in Investment income (loss), net in the unaudited condensed consolidated statements of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5 - CONSOLIDATION AND VARIABLE INTEREST ENTITIES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variable interests in securitization vehicles that it sponsors. The Company consolidates VIEs when it is deemed to be the primary beneficiary. In order to be primary beneficiary, the Company must have a controlling financial interest in the VIE. This is determined by evaluating if the Company has both (1) the power to direct the activities of the VIE that most significantly impact the VIE’s economic performance, and (2) the obligation to absorb losses of the VIE that could potentially be significant to the VIE or the right to receive benefits from the VIE that could potentially be significant.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Consolidated VIEs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the Company has determined that it is the primary beneficiary of Pagaya Structured Holdings LLC, Pagaya Structured Holdings II LLC, and Pagaya Structured Holding III LLC (“Risk Retention Entities”). These entities were established by Pagaya to purchase investments in ABS notes and certificates issued by Pagaya-sponsored ABS entities. Pagaya owns a 20% interest in these entities, and the remaining 80% ownership shares are held by affiliate entities. As these entities are consolidated, we present 100% of the assets and liabilities on our consolidated balance sheets. The 80% ownership interest not owned by the Company in each of these consolidated VIEs is accounted for as a noncontrolling interest in the consolidated balance sheets. Any income or loss associated with the consolidated VIEs’ activities is reported within the corresponding line items of the consolidated statements of income, with the results of the 80% ownership interest not owned by the Company presented as net income (loss) attributable to 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the sponsor of securitization transactions, the Company is subject to risk retention requirements and established the Risk Retention Entities to meet these requirements.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Below is a summary of assets and liabilities from the Company’s involvement with consolidated VIEs (i.e., Risk Retention Entities)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160" w:after="283"/>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tbl>
      <w:tblPr>
        <w:tblW w:w="5422" w:type="dxa"/>
        <w:jc w:val="left"/>
        <w:tblInd w:w="0" w:type="dxa"/>
        <w:tblLayout w:type="fixed"/>
        <w:tblCellMar>
          <w:top w:w="28" w:type="dxa"/>
          <w:left w:w="28" w:type="dxa"/>
          <w:bottom w:w="28" w:type="dxa"/>
          <w:right w:w="28" w:type="dxa"/>
        </w:tblCellMar>
      </w:tblPr>
      <w:tblGrid>
        <w:gridCol w:w="712"/>
        <w:gridCol w:w="624"/>
        <w:gridCol w:w="629"/>
        <w:gridCol w:w="196"/>
        <w:gridCol w:w="646"/>
        <w:gridCol w:w="109"/>
        <w:gridCol w:w="109"/>
        <w:gridCol w:w="109"/>
        <w:gridCol w:w="109"/>
        <w:gridCol w:w="235"/>
        <w:gridCol w:w="488"/>
        <w:gridCol w:w="133"/>
        <w:gridCol w:w="109"/>
        <w:gridCol w:w="109"/>
        <w:gridCol w:w="109"/>
        <w:gridCol w:w="196"/>
        <w:gridCol w:w="64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Assets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March 31,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(1) Assets comprised of the note and certificates to comply with risk retention requirements.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Unconsolidated VIEs</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The Company determined that it is not the primary beneficiary of the trusts which hold the loans and issue securities associated with the securitization transactions the Company sponsors. The Company does not have the power to direct or control the activities which most significantly affect the performance of the trusts, which was determined to be servicing loans in the securitization trusts. Once the loans are purchased by the securitization trust, only the loan servicers have direct engagement with the underlying borrowers and are responsible for loan collections, prepayments, disputes, settlements, and collections which are the activities which most significantly impact the VIEs’ economic performance.</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Below is a summary of the Company’s direct interest in (i.e., not held through Risk Retention Entities) variable interests in nonconsolidated VIEs (in thousands):</w:t>
      </w:r>
    </w:p>
    <w:tbl>
      <w:tblPr>
        <w:tblW w:w="7709" w:type="dxa"/>
        <w:jc w:val="left"/>
        <w:tblInd w:w="0" w:type="dxa"/>
        <w:tblLayout w:type="fixed"/>
        <w:tblCellMar>
          <w:top w:w="28" w:type="dxa"/>
          <w:left w:w="28" w:type="dxa"/>
          <w:bottom w:w="28" w:type="dxa"/>
          <w:right w:w="28" w:type="dxa"/>
        </w:tblCellMar>
      </w:tblPr>
      <w:tblGrid>
        <w:gridCol w:w="712"/>
        <w:gridCol w:w="624"/>
        <w:gridCol w:w="629"/>
        <w:gridCol w:w="282"/>
        <w:gridCol w:w="1061"/>
        <w:gridCol w:w="157"/>
        <w:gridCol w:w="109"/>
        <w:gridCol w:w="109"/>
        <w:gridCol w:w="109"/>
        <w:gridCol w:w="429"/>
        <w:gridCol w:w="1612"/>
        <w:gridCol w:w="238"/>
        <w:gridCol w:w="109"/>
        <w:gridCol w:w="109"/>
        <w:gridCol w:w="109"/>
        <w:gridCol w:w="196"/>
        <w:gridCol w:w="961"/>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VIE Assets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March 31, 2026</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839,826 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839,826 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12,987,515 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2025</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847,290 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13,070,284 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From time to time, the Company may, but is not obligated to, purchase assets from the Financing Vehicles. Such repurchases occur at the Company’s discretion, subject to contractual requirements and limitations. See Note 11 for additional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NOTE 6 - BORROWINGS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the Company’s outstanding borrowings as of the date indicated (in thousands): </w:t>
      </w:r>
    </w:p>
    <w:p>
      <w:pPr>
        <w:pStyle w:val="TextBody"/>
        <w:bidi w:val="0"/>
        <w:spacing w:before="0" w:after="0"/>
        <w:jc w:val="both"/>
        <w:rPr/>
      </w:pPr>
      <w:r>
        <w:rPr/>
      </w:r>
    </w:p>
    <w:tbl>
      <w:tblPr>
        <w:tblW w:w="5022" w:type="dxa"/>
        <w:jc w:val="left"/>
        <w:tblInd w:w="0" w:type="dxa"/>
        <w:tblLayout w:type="fixed"/>
        <w:tblCellMar>
          <w:top w:w="28" w:type="dxa"/>
          <w:left w:w="28" w:type="dxa"/>
          <w:bottom w:w="28" w:type="dxa"/>
          <w:right w:w="28" w:type="dxa"/>
        </w:tblCellMar>
      </w:tblPr>
      <w:tblGrid>
        <w:gridCol w:w="657"/>
        <w:gridCol w:w="577"/>
        <w:gridCol w:w="581"/>
        <w:gridCol w:w="243"/>
        <w:gridCol w:w="912"/>
        <w:gridCol w:w="135"/>
        <w:gridCol w:w="109"/>
        <w:gridCol w:w="109"/>
        <w:gridCol w:w="109"/>
        <w:gridCol w:w="287"/>
        <w:gridCol w:w="1078"/>
        <w:gridCol w:w="225"/>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148,782 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was in compliance with all covenants as of March 31, 2026 and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Secured Borrowing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Secured borrowings are comprised of risk retention master repurchase agreements and receivable facilities. Interest expenses related to secured borrowings was $3.4 million and $5.9 million for the three months ended March 31,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the Company’s outstanding secured borrowings as of the date indicated (in thousands, except percentage):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255"/>
        <w:gridCol w:w="1062"/>
        <w:gridCol w:w="1070"/>
        <w:gridCol w:w="305"/>
        <w:gridCol w:w="1150"/>
        <w:gridCol w:w="171"/>
        <w:gridCol w:w="109"/>
        <w:gridCol w:w="109"/>
        <w:gridCol w:w="109"/>
        <w:gridCol w:w="421"/>
        <w:gridCol w:w="421"/>
        <w:gridCol w:w="423"/>
        <w:gridCol w:w="109"/>
        <w:gridCol w:w="109"/>
        <w:gridCol w:w="109"/>
        <w:gridCol w:w="305"/>
        <w:gridCol w:w="1150"/>
        <w:gridCol w:w="171"/>
        <w:gridCol w:w="109"/>
        <w:gridCol w:w="109"/>
        <w:gridCol w:w="109"/>
        <w:gridCol w:w="384"/>
        <w:gridCol w:w="384"/>
        <w:gridCol w:w="552"/>
      </w:tblGrid>
      <w:tr>
        <w:trPr/>
        <w:tc>
          <w:tcPr>
            <w:tcW w:w="12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Interest Rate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Interest Rate (1)</w:t>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Risk Retention Master Repurchase - Recourse</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Risk Retention Master Repurchase - Non-Recourse</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Facility - Recourse</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Facility - Non-Recourse</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principal balance under secured borrowings</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156,275 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interest rate is weighted based on the outstanding principal balance and interest rates in effect as of March 31, 2026 and December 31, 2025.</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second quarter of 2026, the Company received $65.0 million in proceeds from secured borrowings under its existing repurchase agreements. See Note 13.</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i/>
          <w:color w:val="000000"/>
          <w:sz w:val="18"/>
        </w:rPr>
      </w:pPr>
      <w:r>
        <w:rPr>
          <w:rFonts w:ascii="Times New Roman;serif" w:hAnsi="Times New Roman;serif"/>
          <w:b/>
          <w:i/>
          <w:color w:val="000000"/>
          <w:sz w:val="18"/>
        </w:rPr>
        <w:t xml:space="preserve">Risk Retention Master Repurchase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normal course of business, the Company, through consolidated VIEs, enters into repurchase agreements to finance the Company’s risk retention balance in notes and certificates retained from securitization transactions. Under these agreements, the Company pledges financial instruments as collateral. These agreements with counterparties generally contain contractual provisions allowing the counterparty the right to sell or repledge the collateral. Pledged securities owned that can be sold or repledged by the counterparty are included in Investments in loans and securities in the Company’s unaudited condensed consolidated balance sheets. As of March 31, 2026 and December 31, 2025, the outstanding principal balance under the repurchase agreements was $76.2 million and $107.3 million, respectively, which is recorded within secured borrowing on the unaudited condensed consolidated balance sheets, with a weighted average interest rate of approximately 6% percent and 10% percent, respectively. The average remaining contractual maturities of the repurchase agreements were greater than 90 days as of both March 31, 2026 and December 31,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Receivables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April 2025, Pagaya Structured Products LLC, a wholly-owned subsidiary of the Company, entered into a Loan and Security Agreement (the “LSA Agreement”) with certain lenders. This agreement established a 24-month Capitalized Interest Amounts Facility (the “CIA Facility”) with a maximum principal amount of $24 million to finance eligible capitalized interest amounts related to sponsored securitization transactions. Additionally, in June 2025, Pagaya Structured Products LLC entered into a 30-month Accrued Loan Purchasing Fee Receivables Facility (the “ALPF Facility”) with a maximum principal amount of $65 million, to finance certain eligible receivables from sponsored securitization transactions. Borrowings under the CIA Facility bear interest at a rate per annum equal to the adjusted term SOFR (subject to a 1.00% floor) plus a margin of 4.00%, while borrowings under the ALPF Facility bear interest at a rate per annum equal to the adjusted term SOFR (subject to a 1.00% floor) plus a margin of 1.9%. As of March 31, 2026 and December 31, 2025, the combined outstanding principal balance under the CIA Facility and ALPF Facility was $80.1 million and $86.6 million, respectively, which is recorded within secured borrowing on the unaudited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Exchangeable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October 1, 2024, the Company, through a wholly owned subsidiary of the Company, issued $160 million aggregate principal amount of its 6.125% Exchangeable Notes due 2029 (the “2029 Notes”). The issuance was in connection with a purchase agreement dated September 26, 2024, with certain initial purchasers. The 2029 Notes bear interest at a rate of 6.125% per annum, payable semiannually in arrears on April 1 and October 1 of each year, beginning April 1, 2025. The 2029 Notes will mature on October 1, 2029, unless earlier repurchased, redeemed or exchanged.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third quarter of 2025, the Sales Price Contingent Exchange Condition was met as the closing sale price of the Company’s Class A Ordinary Shares exceeded 130% of the exchange price for the required period and, as a result, noteholders have been entitled to exchange their 2029 Notes. As of March 31, 2026, no holders have elected to exchange their 2029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accounted for the issuance of the 2029 Notes as a single liability at par as the conversion feature does not require bifurcation as a derivative under ASC 815 and the 2029 Notes were not issued at a substantial premium. Debt issuance costs consisting of underwriting fees and third-party offering costs, totaled $6.2 million. Original Issue Discount (“OID”) totaled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$8.0 million. Both issuance costs and OID are amortized to interest expense using the effective interest method over the contractual term of the 2029 Notes. For the three months ended March 31, 2026 and 2025, the Company recorded $3.1 million and $3.0 million of interest expense, respectively, which included $0.6 million and $0.6 million, respectively, related to the amortization of debt issuance costs and OID. The effective interest rate of the 2029 Notes is 8.7%.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Long-Term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28, 2025, the Company, through Pagaya US Holding Company LLC (“Pagaya US”), a wholly-owned subsidiary of the Company, completed the issuance of $500 million aggregate principal amount of Senior Unsecured Notes due 2030 (the “2030 Notes”). The 2030 Notes will accrue interest at a rate of 8.875% per annum, payable semi-annually in arrears on February 1 and August 1 of each year, beginning on February 1, 2026. The 2030 Notes will mature on August 1, 2030, unless earlier repurchased or redeemed.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2030 Notes will be redeemable at the option of Pagaya US. At any time prior to August 1, 2027, Pagaya US may redeem the 2030 Notes, in whole or in part, at its option at a redemption price equal to 100% of the principal amount of the 2030 Notes plus a make-whole premium described in the Indenture, plus accrued and unpaid interest, if any, to, but not including, the redemption date. On and after August 1, 2027, Pagaya US may redeem the 2030 Notes, in whole or in part, at the redemption prices set forth in the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details the Company’s 2030 Notes as of March 31, 2026 and December 31, 2025 (in thousands):</w:t>
      </w:r>
    </w:p>
    <w:p>
      <w:pPr>
        <w:pStyle w:val="TextBody"/>
        <w:bidi w:val="0"/>
        <w:spacing w:before="0" w:after="0"/>
        <w:jc w:val="both"/>
        <w:rPr/>
      </w:pPr>
      <w:r>
        <w:rPr/>
      </w:r>
    </w:p>
    <w:tbl>
      <w:tblPr>
        <w:tblW w:w="5930" w:type="dxa"/>
        <w:jc w:val="left"/>
        <w:tblInd w:w="0" w:type="dxa"/>
        <w:tblLayout w:type="fixed"/>
        <w:tblCellMar>
          <w:top w:w="28" w:type="dxa"/>
          <w:left w:w="28" w:type="dxa"/>
          <w:bottom w:w="28" w:type="dxa"/>
          <w:right w:w="28" w:type="dxa"/>
        </w:tblCellMar>
      </w:tblPr>
      <w:tblGrid>
        <w:gridCol w:w="907"/>
        <w:gridCol w:w="797"/>
        <w:gridCol w:w="801"/>
        <w:gridCol w:w="243"/>
        <w:gridCol w:w="912"/>
        <w:gridCol w:w="135"/>
        <w:gridCol w:w="109"/>
        <w:gridCol w:w="109"/>
        <w:gridCol w:w="109"/>
        <w:gridCol w:w="291"/>
        <w:gridCol w:w="1093"/>
        <w:gridCol w:w="161"/>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amount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485,685 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amount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474,988 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recorded $11.2 million of interest expense, including $0.6 million of amortization of debt issuance costs, for the three months ended March 31,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February 2026, the Company repurchased $7.4 million of the outstanding 2030 Notes at a price equal to 87.3% of the principal amount. The Company paid total consideration of $6.5 million, excluding accrued interest, resulting in a $0.8 million gain on extinguishment of debt. This gain is net of the unamortized issuance costs and is recognized within Gains from extinguishment of debt in the unaudited condensed consolidated statements of income. Following the repurchase, the remaining aggregate principal amount of the 2030 Notes outstanding was $485.7 million.</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second quarter of 2026, the Company repurchased $3.8 million of the outstanding 2030 Notes at a price equal to 78.5% of the principal amount. The Company paid total consideration of $3.0 million, excluding accrued interest, resulting in a $0.7 million gain on extinguishment of debt. This gain is net of the written-off carrying value, which included associated pro rata unamortized debt issuance cost. See Note 13.</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2025, the Company refinanced its revolving credit facility by way of terminating its prior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reduction from the prior revolving credit facility’s rate of SOFR plus 7.50%.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the Company had $114.7 million in borrowings outstanding and $17.3 million in letters of credit issued, resulting in zero remaining borrowing capacity. As of December 31, 2025, the Company had no borrowing outstanding, with $16.1 million in letters of credit issued. This provided for $115.9 million of remaining borrowing capacity available.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second quarter of 2026, the Company repaid in full the $114.7 million outstanding balance under the 2025 Revolving Credit Facility. See Note 13.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NOTE 7 - FAIR VALUE MEASUREMENT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FASB ASC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 quoted market prices are not available, fair value is based upon a discounted cash flow model that uses, as inputs, observable market-based parameters to the greatest extent possible.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determines the fair value of its financial instruments and conducts an ongoing assessment of the techniques used to ensure their appropriateness, consistent application and the reasonableness of the assumptions. In determining the fair value of each investment security and loan, the Company reviews performance characteristics of the underlying loan pool including origination vintage, borrower credit quality, macroeconomic environment, etc. The Company determines the fair value for each investment security and loan by then estimating significant assumptions including discount rates, cumulative net loss rates, expected prepayment rate and consideration of any optional redemption features which are reviewed and approved by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also engages a third-party valuation service provider to estimate a range of fair values for all significant investments in loans and securities. The Company reviews and validates its significant assumptions with reference to historical performance and expectations of future performance including: discount rate, cumulative net loss rate and prepayment rate. Finally, the Company reviews and validates that the fair value used for financial reporting is within the range of fair value estimates by the third-party service provider for its significant investment in loans and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instruments are categorized in the fair value hierarchy based on the significance of unobservable inputs and assumptions in the overall fair value measurement. Financial instruments classified as Level 3 within the fair value hierarchy do not trade in an active market with readily observable prices. Accordingly, the Company uses significant unobservable inputs to measure the fair value of these assets. The Company has determined that its certificates, loans and certain subordinated notes meet the definition of Level 3 assets, as their fair value measurements are characterized by a lack of observable market data and a reliance on management's assumptions.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Financial Assets and Liabilities Recorded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present information about the Company’s assets and liabilities that are measured at fair value on a recurring basis as of March 31, 2026 and December 31, 2025, and indicates the fair value hierarchy of the valuation inputs the Company utilized to determine such fair value (in thousands):</w:t>
      </w:r>
    </w:p>
    <w:p>
      <w:pPr>
        <w:pStyle w:val="TextBody"/>
        <w:bidi w:val="0"/>
        <w:spacing w:before="0" w:after="0"/>
        <w:jc w:val="both"/>
        <w:rPr/>
      </w:pPr>
      <w:r>
        <w:rPr/>
      </w:r>
    </w:p>
    <w:tbl>
      <w:tblPr>
        <w:tblW w:w="8324" w:type="dxa"/>
        <w:jc w:val="left"/>
        <w:tblInd w:w="0" w:type="dxa"/>
        <w:tblLayout w:type="fixed"/>
        <w:tblCellMar>
          <w:top w:w="28" w:type="dxa"/>
          <w:left w:w="28" w:type="dxa"/>
          <w:bottom w:w="28" w:type="dxa"/>
          <w:right w:w="28" w:type="dxa"/>
        </w:tblCellMar>
      </w:tblPr>
      <w:tblGrid>
        <w:gridCol w:w="1276"/>
        <w:gridCol w:w="1124"/>
        <w:gridCol w:w="1139"/>
        <w:gridCol w:w="196"/>
        <w:gridCol w:w="421"/>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059" w:type="dxa"/>
            <w:gridSpan w:val="18"/>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(Certificates)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(Loans)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tbl>
      <w:tblPr>
        <w:tblW w:w="8309" w:type="dxa"/>
        <w:jc w:val="left"/>
        <w:tblInd w:w="0" w:type="dxa"/>
        <w:tblLayout w:type="fixed"/>
        <w:tblCellMar>
          <w:top w:w="28" w:type="dxa"/>
          <w:left w:w="28" w:type="dxa"/>
          <w:bottom w:w="28" w:type="dxa"/>
          <w:right w:w="28" w:type="dxa"/>
        </w:tblCellMar>
      </w:tblPr>
      <w:tblGrid>
        <w:gridCol w:w="1276"/>
        <w:gridCol w:w="1124"/>
        <w:gridCol w:w="1139"/>
        <w:gridCol w:w="196"/>
        <w:gridCol w:w="40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(Certificates)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(Loans)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(1)</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 Included in “Accrued expenses and other liabilities” in the unaudited condensed consolidated balance sheets. See Note 9 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Assets and Liabilities Measured at Fair Value on a Recurring Basis (Level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Warrant liability (Level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summarize the Warrant liability activity for the three months ended March 31, 2026 and 2025 (in thousands):</w:t>
      </w:r>
    </w:p>
    <w:p>
      <w:pPr>
        <w:pStyle w:val="TextBody"/>
        <w:bidi w:val="0"/>
        <w:spacing w:before="0" w:after="0"/>
        <w:jc w:val="both"/>
        <w:rPr/>
      </w:pPr>
      <w:r>
        <w:rPr/>
      </w:r>
    </w:p>
    <w:tbl>
      <w:tblPr>
        <w:tblW w:w="5639" w:type="dxa"/>
        <w:jc w:val="left"/>
        <w:tblInd w:w="0" w:type="dxa"/>
        <w:tblLayout w:type="fixed"/>
        <w:tblCellMar>
          <w:top w:w="28" w:type="dxa"/>
          <w:left w:w="28" w:type="dxa"/>
          <w:bottom w:w="28" w:type="dxa"/>
          <w:right w:w="28" w:type="dxa"/>
        </w:tblCellMar>
      </w:tblPr>
      <w:tblGrid>
        <w:gridCol w:w="945"/>
        <w:gridCol w:w="831"/>
        <w:gridCol w:w="833"/>
        <w:gridCol w:w="655"/>
        <w:gridCol w:w="1860"/>
        <w:gridCol w:w="51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2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39" w:type="dxa"/>
        <w:jc w:val="left"/>
        <w:tblInd w:w="0" w:type="dxa"/>
        <w:tblLayout w:type="fixed"/>
        <w:tblCellMar>
          <w:top w:w="28" w:type="dxa"/>
          <w:left w:w="28" w:type="dxa"/>
          <w:bottom w:w="28" w:type="dxa"/>
          <w:right w:w="28" w:type="dxa"/>
        </w:tblCellMar>
      </w:tblPr>
      <w:tblGrid>
        <w:gridCol w:w="945"/>
        <w:gridCol w:w="831"/>
        <w:gridCol w:w="833"/>
        <w:gridCol w:w="655"/>
        <w:gridCol w:w="1860"/>
        <w:gridCol w:w="51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2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Assets and Liabilities Measured at Fair Value on a Recurring Basis (Level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Investments in Loans and Securities (Level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investments in loans and securities categorized as level 3 investments include loans and securities under the fair value option and securities classified as available for sale which are measured at fair value on a recurring basis. These assets are measured at fair value using a discounted cash flow model, and presented within investments in loans and securities on the unaudited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AFS securities under ASC 325-40 held at fair value with credit related changes recorded in earnings and non-credit related changes recorded in other comprehensive income and investments in loans and securities held at fair value under the fair value option, with changes in fair value recorded in earning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summarize the activity related to the fair value of the investments in loans and securities available for sale (Level 3 only) for the three months ended March 31, 2026 and 2025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tbl>
      <w:tblPr>
        <w:tblW w:w="6759" w:type="dxa"/>
        <w:jc w:val="left"/>
        <w:tblInd w:w="0" w:type="dxa"/>
        <w:tblLayout w:type="fixed"/>
        <w:tblCellMar>
          <w:top w:w="28" w:type="dxa"/>
          <w:left w:w="28" w:type="dxa"/>
          <w:bottom w:w="28" w:type="dxa"/>
          <w:right w:w="28" w:type="dxa"/>
        </w:tblCellMar>
      </w:tblPr>
      <w:tblGrid>
        <w:gridCol w:w="1339"/>
        <w:gridCol w:w="1180"/>
        <w:gridCol w:w="1185"/>
        <w:gridCol w:w="209"/>
        <w:gridCol w:w="788"/>
        <w:gridCol w:w="116"/>
        <w:gridCol w:w="116"/>
        <w:gridCol w:w="116"/>
        <w:gridCol w:w="116"/>
        <w:gridCol w:w="209"/>
        <w:gridCol w:w="788"/>
        <w:gridCol w:w="116"/>
        <w:gridCol w:w="109"/>
        <w:gridCol w:w="109"/>
        <w:gridCol w:w="109"/>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beginning of period</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877,554 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(151,985)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Investments in loans and securities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Investments in loans and securities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accrued interest on investments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transactions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and other adjustments (OCI)</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Credit-related impairment loss, net of recoveries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end of period</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861,853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641,617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Significant unobservable inputs used for our Level 3 fair value measurement of the securities are the discount rate, net credit loss rate, prepayment rate and consideration of any optional redemption features in our investment securities. The discount rate reflects management’s estimate of the market-required return for similar financial instruments, to convert estimated future cash flows to a present value. The net credit loss rate is management’s estimate of potential loans losses, net of recoveries, from borrower defaults. The prepayment rate estimate is the proportion of principal received in advance of the contractual terms of the loan, which can impact the future interest cash flows of the investments and the investments expected duration. Because these inputs represent increased risk or accelerated capital return, they maintain an inverse relationship with valuation; accordingly, an increase in the discount, credit risk, or prepayment rates, in isolation, would result in a lower fair value measurement. The following tables present quantitative information about the significant unobservable inputs used for our Level 3 fair value measurement of the securities as of March 31, 2026 and December 31, 2025: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2"/>
        <w:gridCol w:w="519"/>
        <w:gridCol w:w="522"/>
        <w:gridCol w:w="109"/>
        <w:gridCol w:w="109"/>
        <w:gridCol w:w="109"/>
        <w:gridCol w:w="200"/>
        <w:gridCol w:w="200"/>
        <w:gridCol w:w="471"/>
        <w:gridCol w:w="109"/>
        <w:gridCol w:w="109"/>
        <w:gridCol w:w="109"/>
        <w:gridCol w:w="233"/>
        <w:gridCol w:w="233"/>
        <w:gridCol w:w="487"/>
        <w:gridCol w:w="109"/>
        <w:gridCol w:w="109"/>
        <w:gridCol w:w="109"/>
        <w:gridCol w:w="339"/>
        <w:gridCol w:w="332"/>
        <w:gridCol w:w="785"/>
        <w:gridCol w:w="109"/>
        <w:gridCol w:w="109"/>
        <w:gridCol w:w="109"/>
        <w:gridCol w:w="200"/>
        <w:gridCol w:w="200"/>
        <w:gridCol w:w="471"/>
        <w:gridCol w:w="109"/>
        <w:gridCol w:w="109"/>
        <w:gridCol w:w="109"/>
        <w:gridCol w:w="233"/>
        <w:gridCol w:w="233"/>
        <w:gridCol w:w="487"/>
        <w:gridCol w:w="109"/>
        <w:gridCol w:w="109"/>
        <w:gridCol w:w="109"/>
        <w:gridCol w:w="322"/>
        <w:gridCol w:w="313"/>
        <w:gridCol w:w="871"/>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Financial Assets and Liabilities Not Recorded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believes that the carrying amount of cash, cash equivalents and restricted cash, fee receivables, accounts payable and other current liabilities approximate their fair value due to the short-term maturities of these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below tables contain information about assets that are not measured at fair value on a recurring basis as of March 31, 2026 and December 31, 2025 (in thousands):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454"/>
        <w:gridCol w:w="1254"/>
        <w:gridCol w:w="1274"/>
        <w:gridCol w:w="196"/>
        <w:gridCol w:w="736"/>
        <w:gridCol w:w="109"/>
        <w:gridCol w:w="109"/>
        <w:gridCol w:w="109"/>
        <w:gridCol w:w="109"/>
        <w:gridCol w:w="196"/>
        <w:gridCol w:w="736"/>
        <w:gridCol w:w="109"/>
        <w:gridCol w:w="109"/>
        <w:gridCol w:w="109"/>
        <w:gridCol w:w="109"/>
        <w:gridCol w:w="239"/>
        <w:gridCol w:w="497"/>
        <w:gridCol w:w="109"/>
        <w:gridCol w:w="109"/>
        <w:gridCol w:w="109"/>
        <w:gridCol w:w="109"/>
        <w:gridCol w:w="210"/>
        <w:gridCol w:w="552"/>
        <w:gridCol w:w="139"/>
        <w:gridCol w:w="109"/>
        <w:gridCol w:w="109"/>
        <w:gridCol w:w="109"/>
        <w:gridCol w:w="196"/>
        <w:gridCol w:w="736"/>
        <w:gridCol w:w="155"/>
      </w:tblGrid>
      <w:tr>
        <w:trPr/>
        <w:tc>
          <w:tcPr>
            <w:tcW w:w="14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Fee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114,700</w:t>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07"/>
        <w:gridCol w:w="1208"/>
        <w:gridCol w:w="1227"/>
        <w:gridCol w:w="196"/>
        <w:gridCol w:w="736"/>
        <w:gridCol w:w="109"/>
        <w:gridCol w:w="109"/>
        <w:gridCol w:w="109"/>
        <w:gridCol w:w="109"/>
        <w:gridCol w:w="196"/>
        <w:gridCol w:w="736"/>
        <w:gridCol w:w="109"/>
        <w:gridCol w:w="109"/>
        <w:gridCol w:w="109"/>
        <w:gridCol w:w="109"/>
        <w:gridCol w:w="239"/>
        <w:gridCol w:w="497"/>
        <w:gridCol w:w="109"/>
        <w:gridCol w:w="109"/>
        <w:gridCol w:w="109"/>
        <w:gridCol w:w="109"/>
        <w:gridCol w:w="196"/>
        <w:gridCol w:w="736"/>
        <w:gridCol w:w="109"/>
        <w:gridCol w:w="109"/>
        <w:gridCol w:w="109"/>
        <w:gridCol w:w="109"/>
        <w:gridCol w:w="196"/>
        <w:gridCol w:w="736"/>
        <w:gridCol w:w="155"/>
      </w:tblGrid>
      <w:tr>
        <w:trPr/>
        <w:tc>
          <w:tcPr>
            <w:tcW w:w="140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Fee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8 - SHARE BASED COMPENSATION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Share Options</w:t>
      </w:r>
      <w:r>
        <w:rPr>
          <w:color w:val="000000"/>
        </w:rPr>
        <w:t>—</w:t>
      </w:r>
      <w:r>
        <w:rPr>
          <w:rFonts w:ascii="Times New Roman;serif" w:hAnsi="Times New Roman;serif"/>
          <w:b w:val="false"/>
          <w:color w:val="000000"/>
          <w:sz w:val="18"/>
        </w:rPr>
        <w:t>Granted share options generally expire at the earlier of termination of employment or ten years from the date of grant. Share options generally vest over four years of the employment commencement date or with 25% vesting on the twelve-month anniversary of the employment commencement date, and the remaining on a pro-rata basis each quarter over the next three years. Any options, which are forfeited or not exercised before expiration, become available for future grants.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Company’s share option activity during the three months ended March 31, 2026: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3"/>
        <w:gridCol w:w="735"/>
        <w:gridCol w:w="741"/>
        <w:gridCol w:w="534"/>
        <w:gridCol w:w="476"/>
        <w:gridCol w:w="453"/>
        <w:gridCol w:w="109"/>
        <w:gridCol w:w="109"/>
        <w:gridCol w:w="109"/>
        <w:gridCol w:w="603"/>
        <w:gridCol w:w="1156"/>
        <w:gridCol w:w="336"/>
        <w:gridCol w:w="109"/>
        <w:gridCol w:w="109"/>
        <w:gridCol w:w="109"/>
        <w:gridCol w:w="553"/>
        <w:gridCol w:w="553"/>
        <w:gridCol w:w="555"/>
        <w:gridCol w:w="109"/>
        <w:gridCol w:w="109"/>
        <w:gridCol w:w="109"/>
        <w:gridCol w:w="318"/>
        <w:gridCol w:w="1050"/>
        <w:gridCol w:w="258"/>
      </w:tblGrid>
      <w:tr>
        <w:trPr/>
        <w:tc>
          <w:tcPr>
            <w:tcW w:w="90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 (000’s)</w:t>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3,197,713 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3,169,627 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exercisable, March 31, 2026</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2,639,260 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17,316 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aggregate intrinsic value of options exercised, and fair value of share options vested for the three months ended March 31, 2026 was $0.2 million and $0.7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unrecognized compensation expense related to unvested share options was approximately $4.1 million, which is expected to be recognized over a remaining weighted-average vesting period of 1.3 years.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Restricted Stock Units (RSUs)</w:t>
      </w:r>
      <w:r>
        <w:rPr>
          <w:color w:val="000000"/>
        </w:rPr>
        <w:t>—</w:t>
      </w:r>
      <w:r>
        <w:rPr>
          <w:rFonts w:ascii="Times New Roman;serif" w:hAnsi="Times New Roman;serif"/>
          <w:b w:val="false"/>
          <w:color w:val="000000"/>
          <w:sz w:val="18"/>
        </w:rPr>
        <w:t>RSUs for new employees generally vest over two years of the employment commencement date with 50% vesting on the twelve-month anniversary of the employment commencement date, and the remaining on a pro-rata basis each quarter over the remaining twelve months. RSUs for existing employees are granted periodically and generally vest quarterly over 2 years. Unvested RSUs are forfeited at termination of employment. Any RSUs that are forfeited become available for future grants.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Company’s RSU activity during the three months ended March 31, 2026: </w:t>
      </w:r>
    </w:p>
    <w:p>
      <w:pPr>
        <w:pStyle w:val="TextBody"/>
        <w:bidi w:val="0"/>
        <w:spacing w:before="0" w:after="0"/>
        <w:jc w:val="left"/>
        <w:rPr/>
      </w:pPr>
      <w:r>
        <w:rPr/>
      </w:r>
    </w:p>
    <w:tbl>
      <w:tblPr>
        <w:tblW w:w="8291" w:type="dxa"/>
        <w:jc w:val="left"/>
        <w:tblInd w:w="0" w:type="dxa"/>
        <w:tblLayout w:type="fixed"/>
        <w:tblCellMar>
          <w:top w:w="28" w:type="dxa"/>
          <w:left w:w="28" w:type="dxa"/>
          <w:bottom w:w="28" w:type="dxa"/>
          <w:right w:w="28" w:type="dxa"/>
        </w:tblCellMar>
      </w:tblPr>
      <w:tblGrid>
        <w:gridCol w:w="868"/>
        <w:gridCol w:w="765"/>
        <w:gridCol w:w="767"/>
        <w:gridCol w:w="479"/>
        <w:gridCol w:w="479"/>
        <w:gridCol w:w="481"/>
        <w:gridCol w:w="109"/>
        <w:gridCol w:w="109"/>
        <w:gridCol w:w="109"/>
        <w:gridCol w:w="987"/>
        <w:gridCol w:w="2351"/>
        <w:gridCol w:w="787"/>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 Per Share</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2025</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2,150,173 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104,804 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(655,150)</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(125,501)</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March 31, 2026</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1,474,326 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br/>
        <w:t>As of March 31, 2026, unrecognized compensation expense related to RSUs was approximately $19.3 million, which is expected to be recognized over a remaining weighted-average period of 1.0 years. The RSU activity table above does not include annual equity grants for approximately 2.1 million RSUs approved by the Board of Directors on April 1, 2026, as these grants occurred subsequent to the three months ended March 31, 2026.</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Options to Restricted Shares</w:t>
      </w:r>
      <w:r>
        <w:rPr>
          <w:color w:val="000000"/>
        </w:rPr>
        <w:t>—</w:t>
      </w:r>
      <w:r>
        <w:rPr>
          <w:rFonts w:ascii="Times New Roman;serif" w:hAnsi="Times New Roman;serif"/>
          <w:b w:val="false"/>
          <w:color w:val="000000"/>
          <w:sz w:val="18"/>
        </w:rPr>
        <w:t>Options to restricted shares were granted to certain employees and directors during 2021.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Company’s options to restricted shares activity during the three months ended March 31,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1"/>
        <w:gridCol w:w="732"/>
        <w:gridCol w:w="738"/>
        <w:gridCol w:w="534"/>
        <w:gridCol w:w="502"/>
        <w:gridCol w:w="451"/>
        <w:gridCol w:w="109"/>
        <w:gridCol w:w="109"/>
        <w:gridCol w:w="109"/>
        <w:gridCol w:w="528"/>
        <w:gridCol w:w="1261"/>
        <w:gridCol w:w="297"/>
        <w:gridCol w:w="109"/>
        <w:gridCol w:w="109"/>
        <w:gridCol w:w="109"/>
        <w:gridCol w:w="552"/>
        <w:gridCol w:w="552"/>
        <w:gridCol w:w="554"/>
        <w:gridCol w:w="109"/>
        <w:gridCol w:w="109"/>
        <w:gridCol w:w="109"/>
        <w:gridCol w:w="317"/>
        <w:gridCol w:w="1047"/>
        <w:gridCol w:w="258"/>
      </w:tblGrid>
      <w:tr>
        <w:trPr/>
        <w:tc>
          <w:tcPr>
            <w:tcW w:w="90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 (000’s)</w:t>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19,884,985 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19,884,399 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exercisable, March 31, 2026</w:t>
            </w:r>
          </w:p>
        </w:tc>
        <w:tc>
          <w:tcPr>
            <w:tcW w:w="10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16,579,082 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At March 31, 2026, unrecognized compensation expense related to options to restricted shares was approximately $4.9 million, which is expected to be recognized over a remaining weighted-average period of 0.9 years.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Employee Stock Purchase Plan</w:t>
      </w:r>
      <w:r>
        <w:rPr>
          <w:color w:val="000000"/>
        </w:rPr>
        <w:t>—</w:t>
      </w:r>
      <w:r>
        <w:rPr>
          <w:rFonts w:ascii="Times New Roman;serif" w:hAnsi="Times New Roman;serif"/>
          <w:b w:val="false"/>
          <w:color w:val="000000"/>
          <w:sz w:val="18"/>
        </w:rPr>
        <w:t>The Employee Stock Purchase Plan (“ESPP”) allows eligible employees to purchase shares of our Class A Ordinary Shares at a discounted price, normally through payroll deductions, subject to the terms of the ESPP and applicable law. During the three months ended March 31, 2026, 66,814 shares were issued under the ESPP. As of March 31, 2026, 1,487,015 shares of Class A Ordinary Shares were reserved for issuance under the ESPP. Compensation expense related to the ESPP was $0.2 million for the three months ended March 31, 2026.</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Share-Based Compensation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the components and classification of share-based compensation for the three months ended March 31, 2026 and 2025 (in thousands): </w:t>
      </w:r>
    </w:p>
    <w:p>
      <w:pPr>
        <w:pStyle w:val="TextBody"/>
        <w:bidi w:val="0"/>
        <w:spacing w:before="0" w:after="0"/>
        <w:jc w:val="both"/>
        <w:rPr/>
      </w:pPr>
      <w:r>
        <w:rPr/>
      </w:r>
    </w:p>
    <w:tbl>
      <w:tblPr>
        <w:tblW w:w="6221" w:type="dxa"/>
        <w:jc w:val="left"/>
        <w:tblInd w:w="0" w:type="dxa"/>
        <w:tblLayout w:type="fixed"/>
        <w:tblCellMar>
          <w:top w:w="28" w:type="dxa"/>
          <w:left w:w="28" w:type="dxa"/>
          <w:bottom w:w="28" w:type="dxa"/>
          <w:right w:w="28" w:type="dxa"/>
        </w:tblCellMar>
      </w:tblPr>
      <w:tblGrid>
        <w:gridCol w:w="1147"/>
        <w:gridCol w:w="1007"/>
        <w:gridCol w:w="1010"/>
        <w:gridCol w:w="236"/>
        <w:gridCol w:w="670"/>
        <w:gridCol w:w="131"/>
        <w:gridCol w:w="131"/>
        <w:gridCol w:w="131"/>
        <w:gridCol w:w="131"/>
        <w:gridCol w:w="236"/>
        <w:gridCol w:w="779"/>
        <w:gridCol w:w="131"/>
        <w:gridCol w:w="109"/>
        <w:gridCol w:w="109"/>
        <w:gridCol w:w="109"/>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9 -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 xml:space="preserve">Legal Proceedings </w:t>
      </w:r>
      <w:r>
        <w:rPr>
          <w:color w:val="000000"/>
        </w:rPr>
        <w:t xml:space="preserve">— </w:t>
      </w:r>
      <w:r>
        <w:rPr>
          <w:rFonts w:ascii="Times New Roman;serif" w:hAnsi="Times New Roman;serif"/>
          <w:b w:val="false"/>
          <w:color w:val="000000"/>
          <w:sz w:val="18"/>
        </w:rPr>
        <w:t xml:space="preserve">From time to time the Company is subject to legal proceedings and claims in the ordinary course of business. The results of such matters often cannot be predicted with certainty. In accordance with applicable accounting guidance, the Company establishes an accrued liability for legal proceeding and claims when those matters present loss contingencies which are both probable and reasonably estimable. All such liabilities arising from current legal matters, to the extent such matters existed, have been recorded in accrued expenses and other liabilities on the unaudited condensed consolidated balance sheets and these matters are immaterial.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 xml:space="preserve">Contractual Obligations and Commitments </w:t>
      </w:r>
      <w:r>
        <w:rPr>
          <w:color w:val="000000"/>
        </w:rPr>
        <w:t xml:space="preserve">— </w:t>
      </w:r>
      <w:r>
        <w:rPr>
          <w:rFonts w:ascii="Times New Roman;serif" w:hAnsi="Times New Roman;serif"/>
          <w:b w:val="false"/>
          <w:color w:val="000000"/>
          <w:sz w:val="18"/>
        </w:rPr>
        <w:t>From time to time, the Company enters into a purchase commitment with our third-party cloud computing web services providers. As of March 31, 2026, the total remaining contractual obligations from this purchase commitment are approximately $9.2 million, of which $6.3 million is for the next 12 months. The Company may pay more than the minimum purchase commitment based on usage. Additionally, the Company has contractual obligations related to its lease for corporate office space.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 xml:space="preserve">Guarantees and Indemnifications </w:t>
      </w:r>
      <w:r>
        <w:rPr>
          <w:color w:val="000000"/>
        </w:rPr>
        <w:t xml:space="preserve">— </w:t>
      </w:r>
      <w:r>
        <w:rPr>
          <w:rFonts w:ascii="Times New Roman;serif" w:hAnsi="Times New Roman;serif"/>
          <w:b w:val="false"/>
          <w:color w:val="000000"/>
          <w:sz w:val="18"/>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our forward flow agreements, loans purchased have a contractual performance requirement which is measured periodically over the life of the underlying loans. If the loan’s performance is below the contractual requirement, the counterparty may have first loss up until a contractual agreed limit. If the loans’ performance is below the counterparty’s first loss limit or if there is no first loss limit, then Pagaya would be required to make a payment to the counterparty such that the loans purchased would have 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there have been no known events or circumstances that have resulted in a material indemnification liability and the Company did not incur material costs to defend lawsuits or settle claims related to these indemnifications. As of March 31, 2026, the unfunded maximum potential amount of undiscounted future payments the Company could be required to make under these guarantees totaled $135.4 million. Additionally, in accordance with the guarantee contracts, the Company is required to fund segregated cash balances to provide protection in the event the Company is not able to meet its contractual commitments. As of March 31, 2026, $55.5 million has been segregated and recognized within restricted cash and cash equivalents, of which $17.5 million has been accrued within accrued expenses and other liabilities in the unaudited condensed consolidated balance sheets in accordance with these contractual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NOTE 10 - INCOME TAXES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Corporate Income Tax</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Ordinary taxable income in Israel is subject to a corporate tax rate of 23%. The Company received approval from the Israeli Tax authorities on November 18, 2021 for Preferred Technological Enterprise (“PTE”) status which was implemented commencing 2020. The Company is currently in the process of obtaining a renewal of its PTE status.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Income from a PTE is generally subject to 12% tax rate, unless a tax payer is subject to Pillar Two taxation as noted below. Following Israel’s adoption of the OECD Pillar Two framework and the introduction of a Qualified Domestic Minimum Top-Up Tax (QDMTT) in late 2025, the Company became subject to a minimum corporate tax rate of 15%, partially offset by a refundable R&amp;D tax credit beginning in the first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Pillar Two Taxation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8, 2021, the Organisation for Economic Co-operation and Development (“OECD”)/G20 inclusive framework (the “Inclusive Framework”) on Base Erosion and Profit Shifting published a statement updating and finalizing the key components of a two-pillar plan on global tax reform. The Inclusive Framework plan has now been agreed to by more than 140 OECD members. While many countries have adopted some or all aspects of these rules, some countries have not adopted any or all of them, and many interpretive questions remain that are expected to be addressed in future guidance.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Foreign Exchange Regulations in Israel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Under the Foreign Exchange Regulations, the Company calculates its tax liability in U.S. Dollars according to certain orders. The tax liability, as calculated in U.S. Dollars is translated into NIS according to the exchange rate as of December 31st of each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Non-Israeli subsidiaries are taxed according to the tax laws in their respective countries of residence.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income tax expense (benefit) (in thousands) and effective tax rates for the three months ended March 31, 2026 and 2025 are as follows:</w:t>
      </w:r>
    </w:p>
    <w:p>
      <w:pPr>
        <w:pStyle w:val="TextBody"/>
        <w:bidi w:val="0"/>
        <w:spacing w:before="0" w:after="0"/>
        <w:jc w:val="both"/>
        <w:rPr/>
      </w:pPr>
      <w:r>
        <w:rPr/>
      </w:r>
    </w:p>
    <w:tbl>
      <w:tblPr>
        <w:tblW w:w="5606" w:type="dxa"/>
        <w:jc w:val="left"/>
        <w:tblInd w:w="0" w:type="dxa"/>
        <w:tblLayout w:type="fixed"/>
        <w:tblCellMar>
          <w:top w:w="28" w:type="dxa"/>
          <w:left w:w="28" w:type="dxa"/>
          <w:bottom w:w="28" w:type="dxa"/>
          <w:right w:w="28" w:type="dxa"/>
        </w:tblCellMar>
      </w:tblPr>
      <w:tblGrid>
        <w:gridCol w:w="924"/>
        <w:gridCol w:w="809"/>
        <w:gridCol w:w="817"/>
        <w:gridCol w:w="236"/>
        <w:gridCol w:w="780"/>
        <w:gridCol w:w="309"/>
        <w:gridCol w:w="131"/>
        <w:gridCol w:w="131"/>
        <w:gridCol w:w="131"/>
        <w:gridCol w:w="236"/>
        <w:gridCol w:w="490"/>
        <w:gridCol w:w="131"/>
        <w:gridCol w:w="109"/>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10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tax rate is affected by recurring items, such as tax rates in foreign jurisdictions and the relative amounts of income the Company earns in those jurisdictions. The difference between the effective tax rate and statutory tax rate in Israel mainly related to a change in valuation allowances, tax expenses in the United States, and a change in uncertain tax positions. The change in the effective tax rate from the first quarter of 2025 to the first quarter of 2026 was primarily attributable to changes in uncertain tax positions, including a decrease during the three months ended March 31, 2025, compared to an increase during the three months ended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provides a full valuation allowance to offset certain deferred tax assets due to the uncertainty of realizing future tax benefits from its net operating loss carryforwards and other deferred tax assets.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Tax Assessments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files income tax returns in various jurisdictions with varying statutes of limitation. As of March 31, 2026, the Company has received final tax assessments in Israel through 2020. As of March 31, 2026, the Company is currently subject to tax audits in Israel and federal and state tax audits in U.S. The tax audits are ongoing and to date, no material issues have been raised, and no adjustments have been proposed.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Legislative Updates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March 31, 2026, the Law for the Encouragement and Incentivization of Research and Development (the “R&amp;D Law”) was enacted. The R&amp;D Law introduces a refundable tax credit regime for qualifying research and development expenditures incurred in Israel beginning in the 2026 tax year. Eligible companies may apply the credits against Israeli income taxes or Israeli qualified domestic minimum top</w:t>
        <w:noBreakHyphen/>
        <w:t>up tax (QDMTT), or alternatively receive a government grant. Refundable tax credits under the R&amp;D Law are not within the scope of ASC 740 and are accounted for using a government</w:t>
        <w:noBreakHyphen/>
        <w:t>grant accounting model. The impact of the R&amp;D Law was immaterial to the Company’s interim consolidated financial statements for the three months ended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11 - TRANSACTIONS WITH RELATED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the Company may enter into transactions with directors, principal officers, their immediate families, and affiliated companies in which they are principal shareholders (commonly referred to as related parties). In addition, the Company has transactions with the securitization vehicles and other Financing Vehicles, which are also related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the fee receivables from related parties are $108.9 million, which consist of $90.7 million from securitization vehicles and $18.2 million from other Financing Vehicles. As of December 31, 2025, the fee receivables from related parties are $106.9 million, which consists of $85.9 million from securitization vehicles and $21.0 million from other Financing Vehicles.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other assets include revolving facilities and other amounts due from related parties of $41.1 million and $42.6 million, respectively, all of which were attributable to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March 31, 2026, the total revenue from related parties is $158.9 million, which consists of $154.5 million from securitization vehicles and $4.3 million from other Financing Vehicles. For the three months ended March 31, 2025, the total revenue from related parties is $167.9 million, which consists of $159.1 million from securitization vehicles and $8.8 million from other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three months ended March 31, 2026, the Company purchased approximately $8.3 million of loan principal from the Financing Vehicles. During the three months ended March 31, 2025, the Company purchased approximately $3.8 million of loan principal from the Financing Vehicles and included a loss of approximately $3.5 million in general and administrative expenses with respect to these loans.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12 - 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tables set forth the calculation of basic and diluted earnings per share attributable to ordinary shareholders for the three months ended March 31, 2026 and 2025 (in thousands, except share and per share data):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tbl>
      <w:tblPr>
        <w:tblW w:w="8983" w:type="dxa"/>
        <w:jc w:val="left"/>
        <w:tblInd w:w="0" w:type="dxa"/>
        <w:tblLayout w:type="fixed"/>
        <w:tblCellMar>
          <w:top w:w="28" w:type="dxa"/>
          <w:left w:w="28" w:type="dxa"/>
          <w:bottom w:w="28" w:type="dxa"/>
          <w:right w:w="28" w:type="dxa"/>
        </w:tblCellMar>
      </w:tblPr>
      <w:tblGrid>
        <w:gridCol w:w="2194"/>
        <w:gridCol w:w="1924"/>
        <w:gridCol w:w="1971"/>
        <w:gridCol w:w="236"/>
        <w:gridCol w:w="779"/>
        <w:gridCol w:w="131"/>
        <w:gridCol w:w="131"/>
        <w:gridCol w:w="131"/>
        <w:gridCol w:w="131"/>
        <w:gridCol w:w="281"/>
        <w:gridCol w:w="680"/>
        <w:gridCol w:w="131"/>
        <w:gridCol w:w="109"/>
        <w:gridCol w:w="154"/>
      </w:tblGrid>
      <w:tr>
        <w:trPr/>
        <w:tc>
          <w:tcPr>
            <w:tcW w:w="219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Basic EPS: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Less: Undistributed earnings allocated to preferred shares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 ordinary shareholders, basic</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Weighted average shares used for earnings per ordinary share, 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82,717,374</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75,765,080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Earnings per share attributable to ordinary shareholders, basic</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Diluted EPS: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 ordinary shareholders, diluted</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expense (add back) from exchangeable notes (1)</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for diluted EPS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used in computation of basic earnings per share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82,717,374 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75,765,080 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Assumed conversion of shares from exchangeable notes (1)</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Ordinary share warrants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785,476 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784,762 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 options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1,380,432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RSUs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427,014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Employee stock purchase plan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Weighted average shares used for earnings per ordinary share, diluted</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96,745,000 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77,043,464 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Earnings per share attributable to ordinary shareholders, diluted</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The effect of interest expense and assumed conversion from exchangeable notes on the Company diluted EPS calculation for three months ended March 31, 2025 would have been anti-dilutive and has been removed from the calculation.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EPS for Class B ordinary shares and EPS for preferred shares are not presented separately, as under the two-class method, the EPS for Class A, Class B and preferred shares are the same.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potentially dilutive outstanding securities as of March 31, 2026 and 2025 were excluded from the computation of diluted earnings per share because their effect would have been anti-dilutive for the periods: </w:t>
      </w:r>
    </w:p>
    <w:p>
      <w:pPr>
        <w:pStyle w:val="TextBody"/>
        <w:bidi w:val="0"/>
        <w:spacing w:before="0" w:after="0"/>
        <w:jc w:val="left"/>
        <w:rPr/>
      </w:pPr>
      <w:r>
        <w:rPr/>
      </w:r>
    </w:p>
    <w:tbl>
      <w:tblPr>
        <w:tblW w:w="5206" w:type="dxa"/>
        <w:jc w:val="left"/>
        <w:tblInd w:w="0" w:type="dxa"/>
        <w:tblLayout w:type="fixed"/>
        <w:tblCellMar>
          <w:top w:w="28" w:type="dxa"/>
          <w:left w:w="28" w:type="dxa"/>
          <w:bottom w:w="28" w:type="dxa"/>
          <w:right w:w="28" w:type="dxa"/>
        </w:tblCellMar>
      </w:tblPr>
      <w:tblGrid>
        <w:gridCol w:w="745"/>
        <w:gridCol w:w="651"/>
        <w:gridCol w:w="659"/>
        <w:gridCol w:w="109"/>
        <w:gridCol w:w="109"/>
        <w:gridCol w:w="109"/>
        <w:gridCol w:w="480"/>
        <w:gridCol w:w="481"/>
        <w:gridCol w:w="156"/>
        <w:gridCol w:w="109"/>
        <w:gridCol w:w="109"/>
        <w:gridCol w:w="109"/>
        <w:gridCol w:w="479"/>
        <w:gridCol w:w="482"/>
        <w:gridCol w:w="156"/>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to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19,884,777 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19,923,756 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Ordinary share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21,487,548 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36,286,663 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90"/>
        <w:jc w:val="left"/>
        <w:rPr>
          <w:rFonts w:ascii="Times New Roman;serif" w:hAnsi="Times New Roman;serif"/>
          <w:b/>
          <w:color w:val="000000"/>
          <w:sz w:val="18"/>
        </w:rPr>
      </w:pPr>
      <w:r>
        <w:rPr>
          <w:rFonts w:ascii="Times New Roman;serif" w:hAnsi="Times New Roman;serif"/>
          <w:b/>
          <w:color w:val="000000"/>
          <w:sz w:val="18"/>
        </w:rPr>
        <w:t>NOTE 15 - SUBSEQUENT EVENTS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Revolving Credit Facility Repayment</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second quarter of 2026, the Company repaid in full the $114.7 million outstanding balance under its revolving credit facility. There were no penalties associated with the extinguishment of the revolving credit facility balance.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Proceeds from Secured Borrowings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second quarter of 2026, the Company received $65.0 million in proceeds from secured borrowings under its existing repurchase agreements.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2030 Notes Repurchase</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second quarter of 2026, the Company repurchased $3.8 million of the outstanding 2030 Notes at a price equal to 78.5% of the principal amount. The Company paid total consideration of $3.0 million, excluding accrued interest, resulting in a $0.7 million net gain on extinguishment of debt. This gain is net of the written-off carrying value, which included associated pro rata unamortized debt issuance cost. Following the repurchase, the remaining aggregate principal amount of the 2030 Notes outstanding was $481.9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You should read the following discussion and analysis of our financial condition and results of operations together with the unaudited condensed consolidated interim financial statements included elsewhere in this Quarterly Report on Form 10-Q (“Form 10-Q”) and our audited annual consolidated financial statements as of and for the years ended December 31, 2025 and 2024, and the related notes included in our Annual Report on Form 10-K filed with the SEC on March 2, 2026 (“our Annual Report on Form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our actual results could differ materially from the results described in or implied by the forward-looking statements contained in the following discussion and analysis. In this section “we,” “us,” “our” and “Pagaya” refer to Pagaya Technologies Ltd.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Company Overview</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 </w:t>
      </w:r>
    </w:p>
    <w:p>
      <w:pPr>
        <w:pStyle w:val="TextBody"/>
        <w:bidi w:val="0"/>
        <w:spacing w:lineRule="auto" w:line="276"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are a product-focused technology company that deploys sophisticated data science and proprietary, AI-powered technology to enable better outcomes for financial institutions, their existing and potential customers, and institutional or sophisticated investors. </w:t>
      </w:r>
    </w:p>
    <w:p>
      <w:pPr>
        <w:pStyle w:val="TextBody"/>
        <w:bidi w:val="0"/>
        <w:spacing w:lineRule="auto" w:line="268" w:before="220" w:after="283"/>
        <w:jc w:val="both"/>
        <w:rPr>
          <w:rFonts w:ascii="Times New Roman;serif" w:hAnsi="Times New Roman;serif"/>
          <w:b w:val="false"/>
          <w:color w:val="000000"/>
          <w:sz w:val="18"/>
        </w:rPr>
      </w:pPr>
      <w:r>
        <w:rPr>
          <w:rFonts w:ascii="Times New Roman;serif" w:hAnsi="Times New Roman;serif"/>
          <w:b w:val="false"/>
          <w:color w:val="000000"/>
          <w:sz w:val="18"/>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Financing Vehicles: (i) funds managed or advised by Pagaya or one of its affiliates, (iii) special purpose vehicles established by third-party investors to facilitate the purchase of assets under forward flow agreements and (iv) other similar vehicles (“Financing Vehicles”).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Our Economic Model</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Pagaya’s revenues are primarily derived from Network Volume. We define Network Volume as the gross dollar value of assets originated by our Partners with the assistance of our artificial intelligence (“AI”) technology</w:t>
      </w:r>
      <w:r>
        <w:rPr>
          <w:rFonts w:ascii="Times New Roman;serif" w:hAnsi="Times New Roman;serif"/>
          <w:b w:val="false"/>
          <w:color w:val="000000"/>
          <w:sz w:val="12"/>
        </w:rPr>
        <w:t>1</w:t>
      </w:r>
      <w:r>
        <w:rPr>
          <w:rFonts w:ascii="Times New Roman;serif" w:hAnsi="Times New Roman;serif"/>
          <w:b w:val="false"/>
          <w:color w:val="000000"/>
          <w:sz w:val="18"/>
        </w:rPr>
        <w:t xml:space="preserve">. We generate revenue from network </w:t>
      </w:r>
    </w:p>
    <w:p>
      <w:pPr>
        <w:pStyle w:val="TextBody"/>
        <w:bidi w:val="0"/>
        <w:spacing w:lineRule="auto" w:line="276"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AI fees, contract fees, interest income and investment income. Revenue from fees is comprised of network AI fees and contract fees. Network AI fees can be further broken down into two fee streams: AI integration fees and capital markets execution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primarily earn AI integration fees for the creation and delivery of the assets that comprise our Network Volume.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Capital markets execution and contract fees are primarily earned from investors. Multiple funding channels are utilized to enable the purchase of network assets from our Partners, such as asset backed securitizations and forward flow arrangements. Capital markets execution fees are primarily earned from the market pricing of ABS transactions, as well as upon the execution of forward flow transactions, while contract fees are management, performance and similar fees.</w:t>
      </w:r>
    </w:p>
    <w:p>
      <w:pPr>
        <w:pStyle w:val="TextBody"/>
        <w:bidi w:val="0"/>
        <w:spacing w:lineRule="auto" w:line="276" w:before="160" w:after="283"/>
        <w:jc w:val="both"/>
        <w:rPr>
          <w:rFonts w:ascii="Times New Roman;serif" w:hAnsi="Times New Roman;serif"/>
          <w:b w:val="false"/>
          <w:color w:val="000000"/>
          <w:sz w:val="18"/>
        </w:rPr>
      </w:pPr>
      <w:r>
        <w:rPr>
          <w:rFonts w:ascii="Times New Roman;serif" w:hAnsi="Times New Roman;serif"/>
          <w:b w:val="false"/>
          <w:color w:val="000000"/>
          <w:sz w:val="18"/>
        </w:rPr>
        <w:t>Additionally, we earn interest income from our risk retention holdings and our corporate cash balances and investment income associated with our ownership interests in certain Financing Vehicles and other proprietary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 An important operating metric to evaluate the success of our economic model, therefore, is FRLPC, or fee revenue less Production Costs. FRLPC is a not calculated in accordance with generally accepted accounting principles in the U.S. ("GAAP") See the section below entitled "Reconciliation of Non-GAAP Financial Measures" for a description and reconciliation of this measure to the most directly comparable GAAP measure.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we have built what we believe to be a leading data science and AI organization that has enabled us to assist our Partners as they make decisions to extend credit to consumers. Excluding Production Costs, headcount, technology overhead and research and development expenses represent the significant portion of our expenses.</w:t>
      </w: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Key Factors Affecting Our Performance</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Expanded Usage of Our Network by Our Existing Partners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Our AI technology typically enables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Additionally, we continue to introduce and develop new asset types, products and services, enabling Partners to expand their relationship with Pagaya and further increase origination volumes.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Adoption of Our Network by New Partners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Continued Improvements to Our AI Technology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$3.9 trillion in application volume.</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Availability and Pricing of Funding from Investors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Regardless of market conditions, the availability and pricing of funding from investors is critical to our growth. We have diversified our investor network and will continue to seek to further diversify our investor base. For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March 31, 2026 and 2025, our top 5 investors collectively accounted for approximately 59% and 39%, respectively, of our total funding.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Performance of Assets Originated with the Assistance of Our Proprietary Technology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availability of funding from investors is a function of demand for consumer credit, as well as the performance of such assets originated with the assistance of our AI technology and purchased by Financing Vehicles. Our AI technology and data-driven insights are designed to enable relative outperformance versus the broader market. We believe that investors in Financing Vehicles view our AI technology as an important component in delivering assets that meet their investment criteria.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Impact of Macroeconomic Cycles and Global and Regional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expect economic cycles to affect our financial performance and related metrics. Macroeconomic conditions, including persistent inflation, elevated interest rates, supply chain constraints, geopolitical tensions, climate-related disruptions, and evolving global conflicts, may affect consumer demand for financial products, our Partners’ ability to generate and convert customer application volume, and the availability and cost of funding from investors through our Financing Vehicles.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Geopolitical instability persists in the Middle East and Eastern Europe. The ongoing conflict between Israel, the U.S., and Iran that erupted in February 2026 has resulted in volatility and disruption of global energy and financial markets, which has increased our cost of capital and may diminish investor appetite for risk assets. Management is actively monitoring the situation for systemic risks and has implemented remote-work protocols for our Tel Aviv-based team to maintain business continuity while prioritizing employee safety. We will continue to evaluate our operational protocols as the security landscape evolves. Although these regional dynamics remain a source of uncertainty, to date we have not experienced material impacts on our business from this conflict. Prolonged hostilities or further escalation of this conflict could exacerbate disruptions to the global energy and financial markets, global inflationary pressures, and supply chain challenges, all of which could adversely affect consumer credit demand, investor appetite for risk assets, and our Network Volume.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Macroeconomic pressures, including sustained high interest rates and inflation, continue to shape our operating environment. Central banks, including the Federal Reserve, have maintained elevated rates into early 2026 to combat inflationary trends, increasing borrowing costs and potentially straining borrowers’ ability to service debt. This could lead to higher delinquencies, defaults, and charge-offs, reducing investor returns and dampening demand for assets generated on our platform. Inflation, though moderating from its 2022-2023 peak, remains above historical norms, driving up operating costs such as employee compensation, financing expenses, and technology investments. Meanwhile, the elevated risk-free rate environment has shifted investor preferences, with some favoring safer assets over consumer credit. While our ability to raise funding remains intact, the cost of capital has risen, necessitating adjustments in conversion ratios to meet investor return expectations. Adverse developments in the financial sector, such as regional bank stresses, liquidity concerns, or prolonged U.S. federal debt ceiling debates, could further complicate our operating landscape. Should these events escalate into systemic liquidity issues, they could impair our Partners’ and counterparties’ ability to meet obligations, disrupt funding flows, or destabilize financial markets, adversely affecting our performance. Similarly, ongoing trade tensions, particularly between the U.S. and China, and potential tariff escalations could introduce additional uncertainty. Economic downturns or prolonged uncertainty may pressure the performance of assets acquired by Financing Vehicles from our network. However, these conditions also provide valuable data to refine our AI technology, enhancing our ability to adapt to shifting market dynamics and deliver value to Partners and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pPr>
      <w:r>
        <w:rPr>
          <w:rFonts w:ascii="Times New Roman;serif" w:hAnsi="Times New Roman;serif"/>
          <w:b/>
          <w:color w:val="000000"/>
          <w:sz w:val="18"/>
          <w:shd w:fill="FFFFFF" w:val="clear"/>
        </w:rPr>
        <w:t>Key</w:t>
      </w:r>
      <w:r>
        <w:rPr>
          <w:color w:val="000000"/>
        </w:rPr>
        <w:t xml:space="preserve"> </w:t>
      </w:r>
      <w:r>
        <w:rPr>
          <w:rFonts w:ascii="Times New Roman;serif" w:hAnsi="Times New Roman;serif"/>
          <w:b/>
          <w:color w:val="000000"/>
          <w:sz w:val="18"/>
        </w:rPr>
        <w:t>Operating Metric</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collect and analyze operating and financial data of our business to assess our performance, formulate financial projections and make strategic decisions. In addition to total revenues, net operating income (loss), other measures under U.S. GAAP, and certain non-GAAP financial measures (see the discussion and reconciliation herein titled “Reconciliation of Non-GAAP Financial Measures”), we consider Network Volume to be a key operating metric we use to evaluate our business. The following table sets forth our Network Volume for the three months ended March 31, 2026 and 2025.</w:t>
      </w:r>
    </w:p>
    <w:p>
      <w:pPr>
        <w:pStyle w:val="TextBody"/>
        <w:bidi w:val="0"/>
        <w:spacing w:before="0" w:after="0"/>
        <w:jc w:val="both"/>
        <w:rPr/>
      </w:pPr>
      <w:r>
        <w:rPr/>
      </w:r>
    </w:p>
    <w:tbl>
      <w:tblPr>
        <w:tblW w:w="5076" w:type="dxa"/>
        <w:jc w:val="left"/>
        <w:tblInd w:w="0" w:type="dxa"/>
        <w:tblLayout w:type="fixed"/>
        <w:tblCellMar>
          <w:top w:w="28" w:type="dxa"/>
          <w:left w:w="28" w:type="dxa"/>
          <w:bottom w:w="28" w:type="dxa"/>
          <w:right w:w="28" w:type="dxa"/>
        </w:tblCellMar>
      </w:tblPr>
      <w:tblGrid>
        <w:gridCol w:w="494"/>
        <w:gridCol w:w="434"/>
        <w:gridCol w:w="436"/>
        <w:gridCol w:w="246"/>
        <w:gridCol w:w="700"/>
        <w:gridCol w:w="137"/>
        <w:gridCol w:w="137"/>
        <w:gridCol w:w="137"/>
        <w:gridCol w:w="137"/>
        <w:gridCol w:w="246"/>
        <w:gridCol w:w="700"/>
        <w:gridCol w:w="137"/>
        <w:gridCol w:w="109"/>
        <w:gridCol w:w="109"/>
        <w:gridCol w:w="109"/>
        <w:gridCol w:w="109"/>
        <w:gridCol w:w="109"/>
        <w:gridCol w:w="109"/>
        <w:gridCol w:w="109"/>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1135" w:type="dxa"/>
            <w:gridSpan w:val="10"/>
            <w:tcBorders/>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 Volume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Network Volume</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believe the Network Volume metric to be a helpful indicator for our overall scale and reach, as we generate revenue primarily on the basis of Network Volume. In addition, Network Volume directly influences Fee Revenue Less Production Cost (FRLPC), a key non-GAAP measure we use to assess operational efficiency. While maintaining a focus on profitable growth, which may result in a different targeted volume mix, we believe the growth in Network Volume highlights the scalability of our business, which, in turn, affects our operational leverage and profitability. Network Volume is primarily driven by our relationships with our Partners. We believe Network Volume has benefited from continuous improvements to our proprietary technology, enabling our network to more effectively identify assets for acquisition by the Financing Vehicles, thereby providing additional investment opportunities to investors. As a result, when viewed in combination with financial profitability metrics, the expansion of Network Volume provides insights into the effectiveness of our business strategies and the ability to leverage operational efficiencies across different asset classes. Network Volume is comprised of assets across several asset classes, including personal loans, auto loans, and point-of-sale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 xml:space="preserve">Components of Results of Operations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 606, “Revenue from Contracts with Consumers” (“ASC 606”). Revenue from fees is inclusive of network AI fees and contract fees.</w:t>
      </w:r>
    </w:p>
    <w:p>
      <w:pPr>
        <w:pStyle w:val="TextBody"/>
        <w:bidi w:val="0"/>
        <w:spacing w:lineRule="auto" w:line="288" w:before="220" w:after="283"/>
        <w:jc w:val="both"/>
        <w:rPr/>
      </w:pPr>
      <w:r>
        <w:rPr>
          <w:rFonts w:ascii="Times New Roman;serif" w:hAnsi="Times New Roman;serif"/>
          <w:b w:val="false"/>
          <w:i/>
          <w:color w:val="000000"/>
          <w:sz w:val="18"/>
        </w:rPr>
        <w:t>Network AI fees.</w:t>
      </w:r>
      <w:r>
        <w:rPr>
          <w:color w:val="000000"/>
        </w:rPr>
        <w:t> </w:t>
      </w:r>
      <w:r>
        <w:rPr>
          <w:rFonts w:ascii="Times New Roman;serif" w:hAnsi="Times New Roman;serif"/>
          <w:b w:val="false"/>
          <w:color w:val="000000"/>
          <w:sz w:val="18"/>
        </w:rPr>
        <w:t>Network AI fees can be further broken down into two fee streams: AI integration fees and capital markets execution fees. We earn AI integration fees for the creation and delivery of the assets that comprise our Network Volume. Multiple funding channels are used to enable the purchase of network assets from our Partners, such as ABS and forward flow arrangements. Capital markets execution fees are earned when a pre-funded, Pagaya-sponsored ABS vehicle is sold by underwriters, as well as upon the execution of forward flow transactions.</w:t>
      </w:r>
    </w:p>
    <w:p>
      <w:pPr>
        <w:pStyle w:val="TextBody"/>
        <w:bidi w:val="0"/>
        <w:spacing w:lineRule="auto" w:line="288" w:before="160" w:after="283"/>
        <w:jc w:val="both"/>
        <w:rPr/>
      </w:pPr>
      <w:r>
        <w:rPr>
          <w:rFonts w:ascii="Times New Roman;serif" w:hAnsi="Times New Roman;serif"/>
          <w:b w:val="false"/>
          <w:i/>
          <w:color w:val="000000"/>
          <w:sz w:val="18"/>
        </w:rPr>
        <w:t>Contract fees.</w:t>
      </w:r>
      <w:r>
        <w:rPr>
          <w:color w:val="000000"/>
        </w:rPr>
        <w:t> </w:t>
      </w:r>
      <w:r>
        <w:rPr>
          <w:rFonts w:ascii="Times New Roman;serif" w:hAnsi="Times New Roman;serif"/>
          <w:b w:val="false"/>
          <w:color w:val="000000"/>
          <w:sz w:val="18"/>
        </w:rPr>
        <w:t xml:space="preserve">Contract fees primarily include administration and management fees, and performance fees. Administration and management fees are contracted upon the establishment of Financing Vehicles and these fees are earned as the Financing Vehicle purchase loans and as the Company provides services over their remaining lives, except for the portion management fees that are recognized at the point in time based on contract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Performance fees are earned when certain Financing Vehicles exceed contractual return hurdles and a significant reversal in the amount of cumulative revenue recognized is not expected to occur.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We also earn interest income from our risk retention holdings and cash balances and investment income associated with our ownership interests in certain Financing Vehicles and other proprietary investments.</w:t>
      </w:r>
    </w:p>
    <w:p>
      <w:pPr>
        <w:pStyle w:val="TextBody"/>
        <w:bidi w:val="0"/>
        <w:spacing w:lineRule="auto" w:line="288" w:before="220" w:after="283"/>
        <w:jc w:val="both"/>
        <w:rPr/>
      </w:pPr>
      <w:r>
        <w:rPr>
          <w:rFonts w:ascii="Times New Roman;serif" w:hAnsi="Times New Roman;serif"/>
          <w:b/>
          <w:color w:val="000000"/>
          <w:sz w:val="18"/>
        </w:rPr>
        <w:t>Costs and Operating Expenses</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Costs and operating expenses consist of Production Costs, technology, data and product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Production Costs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Production Costs are primarily comprised of expenses incurred when Network Volume is transferred from Partners into Financing Vehicles, as our Partners are responsible for marketing and customer interaction and facilitating the flow of additional application flow. Accordingly, the amount and growth of our Production Costs are highly correlated to Network Volume. Additionally, but to a lesser extent, Production Costs also include expenses incurred to renovate single-family rental properties.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Technology, Data and Product Development</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Technology, data and product development expenses primarily comprise costs associated with the maintenance and ongoing development of our network and AI technology, including personnel, allocated costs, and other development-related expenses. Technology, data and product development costs, net of amounts capitalized in accordance with U.S. GAAP, are expensed as incurred. The capitalized internal-use software is amortized on a straight-line method over the estimated useful life in technology, data and product development costs. We have invested and believe continued investments in technology, data and product development are important to achieving our strategic objectives.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Sales and Marketing</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General and Administrative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primarily comprise personnel-related costs for our executives, finance, legal and other administrative functions, insurance costs, professional fees for external legal, accounting and other professional services and allocated overhead costs. General and administrative expenses are expensed as incurred.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Gains and (Losses) on Investments in Loans and Securities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 primarily reflects changes in fair value that management identifies as credit losses or reversals of previously recognized credit losses, including remeasurements of instruments accounted for under the fair value option and any gain or loss realized upon sale or termination of such instruments. As of the end of each reporting period, management reviews each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decline (or recovery) in fair value which management identifies as a credit loss (or a reversal of previously recognized credit loss) is recognized as loss (or gain) on investments in loans and securities.</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Other Expenses, Net</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Other expenses, net primarily consists of interest expenses from borrowings, changes in the fair value of warrant liabilities and other non-recurring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Gains from Extinguishment of Debt</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Gains from extinguishment of debt represents the difference between the reacquisition price and the net carrying amount of the retired debt. These amounts include gains from debt repurchases at a discount and losses related to early payment penalties and the write-off of unamortized deferred issuance costs and original issue discounts. Such amounts are recognized in the unaudited condensed consolidated statements of income upon the settlement of the underlying obligations.</w:t>
      </w:r>
    </w:p>
    <w:p>
      <w:pPr>
        <w:pStyle w:val="TextBody"/>
        <w:bidi w:val="0"/>
        <w:spacing w:lineRule="auto" w:line="288" w:before="220" w:after="283"/>
        <w:jc w:val="both"/>
        <w:rPr/>
      </w:pPr>
      <w:r>
        <w:rPr>
          <w:rFonts w:ascii="Times New Roman;serif" w:hAnsi="Times New Roman;serif"/>
          <w:b/>
          <w:color w:val="000000"/>
          <w:sz w:val="18"/>
        </w:rPr>
        <w:t>Income Tax Expense</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account for taxes on income in accordance with ASC 740, “Income Taxes” (“ASC 740”). We are eligible for certain tax benefits in Israel under the Law for the Encouragement of Capital Investments or the Investment Law at a reduced tax rate of 12%. Accordingly, as we generate taxable income in Israel, our effective tax rate is expected to be lower than the standard corporate tax rate for Israeli companies, which is 23%. Our taxable income generated in the United States or derived from other sources in Israel which is not eligible for tax benefits will be subject to the regular corporate tax rate in their respective tax jurisdictions. </w:t>
      </w:r>
    </w:p>
    <w:p>
      <w:pPr>
        <w:pStyle w:val="TextBody"/>
        <w:bidi w:val="0"/>
        <w:spacing w:before="2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Net Income (Loss) Attributable to Noncontrolling Interests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in our condensed consolidated statements of income is a result of our investments in certain of our consolidated variable interest entities (‘‘VIEs’’) and consists of the portion of the net income of these consolidated entities that is not attributable to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operating results for the periods indicated (in thousands, except share and per share data): </w:t>
      </w:r>
    </w:p>
    <w:p>
      <w:pPr>
        <w:pStyle w:val="TextBody"/>
        <w:bidi w:val="0"/>
        <w:spacing w:before="0" w:after="0"/>
        <w:jc w:val="left"/>
        <w:rPr/>
      </w:pPr>
      <w:r>
        <w:rPr/>
      </w:r>
    </w:p>
    <w:p>
      <w:pPr>
        <w:pStyle w:val="TextBody"/>
        <w:bidi w:val="0"/>
        <w:spacing w:before="0" w:after="0"/>
        <w:jc w:val="left"/>
        <w:rPr/>
      </w:pPr>
      <w:r>
        <w:rPr/>
      </w:r>
    </w:p>
    <w:tbl>
      <w:tblPr>
        <w:tblW w:w="9760" w:type="dxa"/>
        <w:jc w:val="left"/>
        <w:tblInd w:w="0" w:type="dxa"/>
        <w:tblLayout w:type="fixed"/>
        <w:tblCellMar>
          <w:top w:w="28" w:type="dxa"/>
          <w:left w:w="28" w:type="dxa"/>
          <w:bottom w:w="28" w:type="dxa"/>
          <w:right w:w="28" w:type="dxa"/>
        </w:tblCellMar>
      </w:tblPr>
      <w:tblGrid>
        <w:gridCol w:w="2431"/>
        <w:gridCol w:w="2127"/>
        <w:gridCol w:w="2147"/>
        <w:gridCol w:w="209"/>
        <w:gridCol w:w="788"/>
        <w:gridCol w:w="116"/>
        <w:gridCol w:w="116"/>
        <w:gridCol w:w="116"/>
        <w:gridCol w:w="116"/>
        <w:gridCol w:w="209"/>
        <w:gridCol w:w="788"/>
        <w:gridCol w:w="116"/>
        <w:gridCol w:w="109"/>
        <w:gridCol w:w="109"/>
        <w:gridCol w:w="109"/>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and Other Income</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 (1)</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 (1)</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(1)</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Operating Expenses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Income</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from extinguishment of debt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Net Income Including Noncontrolling Interests </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Net Income Attributable to Pagaya Technologies Ltd.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Earnings per share attributable to Pagaya Technologies Ltd.’s ordinary shareholders: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82,717,374 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75,765,080 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96,745,000 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77,043,464 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The following table sets forth share-based compensation for the periods indicated below (in thousands):</w:t>
      </w:r>
    </w:p>
    <w:p>
      <w:pPr>
        <w:pStyle w:val="TextBody"/>
        <w:bidi w:val="0"/>
        <w:spacing w:before="0" w:after="0"/>
        <w:jc w:val="left"/>
        <w:rPr/>
      </w:pPr>
      <w:r>
        <w:rPr/>
      </w:r>
    </w:p>
    <w:tbl>
      <w:tblPr>
        <w:tblW w:w="7016" w:type="dxa"/>
        <w:jc w:val="left"/>
        <w:tblInd w:w="0" w:type="dxa"/>
        <w:tblLayout w:type="fixed"/>
        <w:tblCellMar>
          <w:top w:w="28" w:type="dxa"/>
          <w:left w:w="28" w:type="dxa"/>
          <w:bottom w:w="28" w:type="dxa"/>
          <w:right w:w="28" w:type="dxa"/>
        </w:tblCellMar>
      </w:tblPr>
      <w:tblGrid>
        <w:gridCol w:w="1435"/>
        <w:gridCol w:w="1260"/>
        <w:gridCol w:w="1264"/>
        <w:gridCol w:w="236"/>
        <w:gridCol w:w="670"/>
        <w:gridCol w:w="131"/>
        <w:gridCol w:w="131"/>
        <w:gridCol w:w="131"/>
        <w:gridCol w:w="131"/>
        <w:gridCol w:w="236"/>
        <w:gridCol w:w="779"/>
        <w:gridCol w:w="131"/>
        <w:gridCol w:w="109"/>
        <w:gridCol w:w="109"/>
        <w:gridCol w:w="109"/>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in operating expenses</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Comparison of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220" w:after="283"/>
        <w:jc w:val="both"/>
        <w:rPr/>
      </w:pPr>
      <w:r>
        <w:rPr>
          <w:rFonts w:ascii="Times New Roman;serif" w:hAnsi="Times New Roman;serif"/>
          <w:b/>
          <w:color w:val="000000"/>
          <w:sz w:val="18"/>
        </w:rPr>
        <w:t>Total Revenue and Other Income</w:t>
      </w:r>
      <w:r>
        <w:rPr>
          <w:color w:val="000000"/>
        </w:rPr>
        <w:t xml:space="preserve"> </w:t>
      </w:r>
    </w:p>
    <w:tbl>
      <w:tblPr>
        <w:tblW w:w="7628" w:type="dxa"/>
        <w:jc w:val="left"/>
        <w:tblInd w:w="0" w:type="dxa"/>
        <w:tblLayout w:type="fixed"/>
        <w:tblCellMar>
          <w:top w:w="28" w:type="dxa"/>
          <w:left w:w="28" w:type="dxa"/>
          <w:bottom w:w="28" w:type="dxa"/>
          <w:right w:w="28" w:type="dxa"/>
        </w:tblCellMar>
      </w:tblPr>
      <w:tblGrid>
        <w:gridCol w:w="890"/>
        <w:gridCol w:w="781"/>
        <w:gridCol w:w="789"/>
        <w:gridCol w:w="209"/>
        <w:gridCol w:w="788"/>
        <w:gridCol w:w="116"/>
        <w:gridCol w:w="116"/>
        <w:gridCol w:w="116"/>
        <w:gridCol w:w="116"/>
        <w:gridCol w:w="209"/>
        <w:gridCol w:w="788"/>
        <w:gridCol w:w="116"/>
        <w:gridCol w:w="109"/>
        <w:gridCol w:w="109"/>
        <w:gridCol w:w="109"/>
        <w:gridCol w:w="196"/>
        <w:gridCol w:w="646"/>
        <w:gridCol w:w="109"/>
        <w:gridCol w:w="109"/>
        <w:gridCol w:w="109"/>
        <w:gridCol w:w="109"/>
        <w:gridCol w:w="210"/>
        <w:gridCol w:w="211"/>
        <w:gridCol w:w="568"/>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8" w:type="dxa"/>
            <w:gridSpan w:val="21"/>
            <w:tcBorders/>
            <w:tcMar>
              <w:top w:w="0" w:type="dxa"/>
              <w:left w:w="0" w:type="dxa"/>
              <w:bottom w:w="0" w:type="dxa"/>
              <w:right w:w="0" w:type="dxa"/>
            </w:tcMar>
            <w:vAlign w:val="center"/>
          </w:tcPr>
          <w:p>
            <w:pPr>
              <w:pStyle w:val="TableContents"/>
              <w:bidi w:val="0"/>
              <w:spacing w:lineRule="auto" w:line="240" w:before="43" w:after="30"/>
              <w:jc w:val="right"/>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and Other Income</w:t>
            </w:r>
          </w:p>
        </w:tc>
        <w:tc>
          <w:tcPr>
            <w:tcW w:w="2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317,944 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289,989 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Total revenue and other income, increased by $28.0 million, or 10%, to $317.9 million for the three months ended March 31, 2026 from $290.0 million for the three months ended March 31, 2025. The increase was primarily driven by an increase in revenue from fees and interest income.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Revenue from fees for the three months ended March 31, 2026 increased by $16.3 million, or 6%, to $299.0 million, compared to the same period in 2025. The increase was primarily due to a $15.4 million increase in Network AI fees, comprised of AI integration fees and capital markets execution fees, from $251.5 million for the three months ended March 31, 2025 to $266.9 million for the three months ended March 31, 2026. The increase in Network AI fees was primarily driven by improved economics in AI integration fees earned from certain Partners, as well as the growth in Network Volume, which increased by 9.3% from $2.4 billion for the three months ended March 31, 2025 to $2.6 billion for the three months ended March 31, 2026. Contract fees, comprised of administration and management fees, performances fees, and servicing fees, increased by $1.0 million from $31.2 million for the three months ended March 31, 2025 to $32.1 million for the three months ended March 31, 2026, reflecting an increase in the assets held by securitization vehicles driven by continued business growth.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Interest income increased by $10.0 million, or 130%, to $17.7 million for the three months ended March 31, 2026 from $7.7 million for the three months ended March 31, 2025. The increase in interest income was directly related to our risk retention holdings and related securities held in our consolidated VIEs as well as certain risk retention holdings held directly by our consolidated subsidiaries. For further information, see “—Net Loss Attributable to Noncontrolling Interests.” The increase in interest income was primarily the result of changes in the structure and composition of our asset portfolio.</w:t>
      </w:r>
    </w:p>
    <w:p>
      <w:pPr>
        <w:pStyle w:val="TextBody"/>
        <w:bidi w:val="0"/>
        <w:spacing w:lineRule="auto" w:line="288" w:before="220" w:after="283"/>
        <w:jc w:val="both"/>
        <w:rPr/>
      </w:pPr>
      <w:r>
        <w:rPr>
          <w:rFonts w:ascii="Times New Roman;serif" w:hAnsi="Times New Roman;serif"/>
          <w:b w:val="false"/>
          <w:color w:val="000000"/>
          <w:sz w:val="18"/>
        </w:rPr>
        <w:t>Investment income increased by $1.7 million to $1.3 million</w:t>
      </w:r>
      <w:r>
        <w:rPr>
          <w:color w:val="000000"/>
        </w:rPr>
        <w:t xml:space="preserve"> </w:t>
      </w:r>
      <w:r>
        <w:rPr>
          <w:rFonts w:ascii="Times New Roman;serif" w:hAnsi="Times New Roman;serif"/>
          <w:b w:val="false"/>
          <w:color w:val="000000"/>
          <w:sz w:val="18"/>
        </w:rPr>
        <w:t xml:space="preserve">for the three months ended March 31, 2026, reflecting a favorable impact from the change in valuation of certain proprietary investments.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18"/>
        </w:rPr>
        <w:t>Costs and Operating Expenses</w:t>
      </w:r>
      <w:r>
        <w:rPr>
          <w:color w:val="000000"/>
        </w:rPr>
        <w:t xml:space="preserve"> </w:t>
      </w:r>
    </w:p>
    <w:tbl>
      <w:tblPr>
        <w:tblW w:w="5785" w:type="dxa"/>
        <w:jc w:val="left"/>
        <w:tblInd w:w="0" w:type="dxa"/>
        <w:tblLayout w:type="fixed"/>
        <w:tblCellMar>
          <w:top w:w="28" w:type="dxa"/>
          <w:left w:w="28" w:type="dxa"/>
          <w:bottom w:w="28" w:type="dxa"/>
          <w:right w:w="28" w:type="dxa"/>
        </w:tblCellMar>
      </w:tblPr>
      <w:tblGrid>
        <w:gridCol w:w="1145"/>
        <w:gridCol w:w="1009"/>
        <w:gridCol w:w="1011"/>
        <w:gridCol w:w="209"/>
        <w:gridCol w:w="787"/>
        <w:gridCol w:w="116"/>
        <w:gridCol w:w="116"/>
        <w:gridCol w:w="116"/>
        <w:gridCol w:w="116"/>
        <w:gridCol w:w="209"/>
        <w:gridCol w:w="787"/>
        <w:gridCol w:w="16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Operating Expenses</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237,939 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242,304 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Production Costs</w:t>
      </w:r>
    </w:p>
    <w:tbl>
      <w:tblPr>
        <w:tblW w:w="6460" w:type="dxa"/>
        <w:jc w:val="left"/>
        <w:tblInd w:w="0" w:type="dxa"/>
        <w:tblLayout w:type="fixed"/>
        <w:tblCellMar>
          <w:top w:w="28" w:type="dxa"/>
          <w:left w:w="28" w:type="dxa"/>
          <w:bottom w:w="28" w:type="dxa"/>
          <w:right w:w="28" w:type="dxa"/>
        </w:tblCellMar>
      </w:tblPr>
      <w:tblGrid>
        <w:gridCol w:w="472"/>
        <w:gridCol w:w="416"/>
        <w:gridCol w:w="417"/>
        <w:gridCol w:w="209"/>
        <w:gridCol w:w="788"/>
        <w:gridCol w:w="116"/>
        <w:gridCol w:w="116"/>
        <w:gridCol w:w="116"/>
        <w:gridCol w:w="116"/>
        <w:gridCol w:w="209"/>
        <w:gridCol w:w="788"/>
        <w:gridCol w:w="116"/>
        <w:gridCol w:w="109"/>
        <w:gridCol w:w="109"/>
        <w:gridCol w:w="109"/>
        <w:gridCol w:w="196"/>
        <w:gridCol w:w="646"/>
        <w:gridCol w:w="109"/>
        <w:gridCol w:w="109"/>
        <w:gridCol w:w="109"/>
        <w:gridCol w:w="109"/>
        <w:gridCol w:w="204"/>
        <w:gridCol w:w="204"/>
        <w:gridCol w:w="568"/>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shd w:fill="FFFFFF" w:val="clear"/>
            <w:tcMar>
              <w:top w:w="0" w:type="dxa"/>
              <w:left w:w="0" w:type="dxa"/>
              <w:bottom w:w="0" w:type="dxa"/>
              <w:right w:w="0" w:type="dxa"/>
            </w:tcMar>
            <w:vAlign w:val="center"/>
          </w:tcPr>
          <w:p>
            <w:pPr>
              <w:pStyle w:val="TableContents"/>
              <w:bidi w:val="0"/>
              <w:spacing w:lineRule="auto" w:line="240" w:before="43" w:after="30"/>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Production costs increased by $10.5 million, or 6%, to $177.6 million for the three months ended March 31, 2026 from $167.1 million for the three months ended March 31, 2025. This increase was due to an increase in the Network Volume, which increased by 9.3% from $2.4 billion for the three months ended March 31, 2025 to $2.6 billion for the three months ended March 31, 2026, attributable to business growth in addition to the composition of the asset classes that make up our Network Volume.</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Technology, Data and Product Development</w:t>
      </w:r>
    </w:p>
    <w:tbl>
      <w:tblPr>
        <w:tblW w:w="8308" w:type="dxa"/>
        <w:jc w:val="left"/>
        <w:tblInd w:w="0" w:type="dxa"/>
        <w:tblLayout w:type="fixed"/>
        <w:tblCellMar>
          <w:top w:w="28" w:type="dxa"/>
          <w:left w:w="28" w:type="dxa"/>
          <w:bottom w:w="28" w:type="dxa"/>
          <w:right w:w="28" w:type="dxa"/>
        </w:tblCellMar>
      </w:tblPr>
      <w:tblGrid>
        <w:gridCol w:w="1147"/>
        <w:gridCol w:w="1007"/>
        <w:gridCol w:w="1010"/>
        <w:gridCol w:w="226"/>
        <w:gridCol w:w="748"/>
        <w:gridCol w:w="126"/>
        <w:gridCol w:w="126"/>
        <w:gridCol w:w="126"/>
        <w:gridCol w:w="126"/>
        <w:gridCol w:w="226"/>
        <w:gridCol w:w="748"/>
        <w:gridCol w:w="126"/>
        <w:gridCol w:w="109"/>
        <w:gridCol w:w="109"/>
        <w:gridCol w:w="109"/>
        <w:gridCol w:w="196"/>
        <w:gridCol w:w="631"/>
        <w:gridCol w:w="109"/>
        <w:gridCol w:w="109"/>
        <w:gridCol w:w="109"/>
        <w:gridCol w:w="109"/>
        <w:gridCol w:w="204"/>
        <w:gridCol w:w="204"/>
        <w:gridCol w:w="568"/>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Technology, data and product development costs for the three months ended March 31, 2026 decreased $3.5 million, or 18%, compared to the same period in 2025. The decrease was driven by a $3.2 million decrease in depreciation expenses , net of capitalization (as explained below), and a $0.4 million</w:t>
      </w:r>
      <w:r>
        <w:rPr>
          <w:color w:val="000000"/>
        </w:rPr>
        <w:t xml:space="preserve"> </w:t>
      </w:r>
      <w:r>
        <w:rPr>
          <w:rFonts w:ascii="Times New Roman;serif" w:hAnsi="Times New Roman;serif"/>
          <w:b w:val="false"/>
          <w:color w:val="000000"/>
          <w:sz w:val="18"/>
        </w:rPr>
        <w:t>decrease in consultant expenses. The reduction in depreciation expense was primarily due to an increase in the estimated useful lives of certain internal-use software.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During the three months ended March 31, 2026 and 2025, we capitalized $3.6 million</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$4.5 million of software development costs, respectively. Depreciation expense, including impairment charges for capitalized software development costs was $2.2 million and $6.2 million during the three months ended March 31,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Sales and Marketing</w:t>
      </w:r>
    </w:p>
    <w:tbl>
      <w:tblPr>
        <w:tblW w:w="6612" w:type="dxa"/>
        <w:jc w:val="left"/>
        <w:tblInd w:w="0" w:type="dxa"/>
        <w:tblLayout w:type="fixed"/>
        <w:tblCellMar>
          <w:top w:w="28" w:type="dxa"/>
          <w:left w:w="28" w:type="dxa"/>
          <w:bottom w:w="28" w:type="dxa"/>
          <w:right w:w="28" w:type="dxa"/>
        </w:tblCellMar>
      </w:tblPr>
      <w:tblGrid>
        <w:gridCol w:w="559"/>
        <w:gridCol w:w="492"/>
        <w:gridCol w:w="494"/>
        <w:gridCol w:w="236"/>
        <w:gridCol w:w="779"/>
        <w:gridCol w:w="131"/>
        <w:gridCol w:w="131"/>
        <w:gridCol w:w="131"/>
        <w:gridCol w:w="131"/>
        <w:gridCol w:w="236"/>
        <w:gridCol w:w="670"/>
        <w:gridCol w:w="131"/>
        <w:gridCol w:w="109"/>
        <w:gridCol w:w="109"/>
        <w:gridCol w:w="109"/>
        <w:gridCol w:w="196"/>
        <w:gridCol w:w="556"/>
        <w:gridCol w:w="109"/>
        <w:gridCol w:w="109"/>
        <w:gridCol w:w="109"/>
        <w:gridCol w:w="109"/>
        <w:gridCol w:w="204"/>
        <w:gridCol w:w="204"/>
        <w:gridCol w:w="568"/>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pPr>
      <w:r>
        <w:rPr>
          <w:rFonts w:ascii="Times New Roman;serif" w:hAnsi="Times New Roman;serif"/>
          <w:b w:val="false"/>
          <w:color w:val="000000"/>
          <w:sz w:val="18"/>
        </w:rPr>
        <w:t>Sales and marketing costs for the three months ended March 31, 2026 increased by $1.5 million, compared to the same period in 2025. The increase was primarily driven by a $0.8 million</w:t>
      </w:r>
      <w:r>
        <w:rPr>
          <w:color w:val="000000"/>
        </w:rPr>
        <w:t xml:space="preserve"> </w:t>
      </w:r>
      <w:r>
        <w:rPr>
          <w:rFonts w:ascii="Times New Roman;serif" w:hAnsi="Times New Roman;serif"/>
          <w:b w:val="false"/>
          <w:color w:val="000000"/>
          <w:sz w:val="18"/>
        </w:rPr>
        <w:t>increase in compensation expenses, including shared-based compensation, and a $0.3 million</w:t>
      </w:r>
      <w:r>
        <w:rPr>
          <w:color w:val="000000"/>
        </w:rPr>
        <w:t xml:space="preserve"> </w:t>
      </w:r>
      <w:r>
        <w:rPr>
          <w:rFonts w:ascii="Times New Roman;serif" w:hAnsi="Times New Roman;serif"/>
          <w:b w:val="false"/>
          <w:color w:val="000000"/>
          <w:sz w:val="18"/>
        </w:rPr>
        <w:t xml:space="preserve">increase in amortization of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General and Administrative</w:t>
      </w:r>
    </w:p>
    <w:tbl>
      <w:tblPr>
        <w:tblW w:w="7243" w:type="dxa"/>
        <w:jc w:val="left"/>
        <w:tblInd w:w="0" w:type="dxa"/>
        <w:tblLayout w:type="fixed"/>
        <w:tblCellMar>
          <w:top w:w="28" w:type="dxa"/>
          <w:left w:w="28" w:type="dxa"/>
          <w:bottom w:w="28" w:type="dxa"/>
          <w:right w:w="28" w:type="dxa"/>
        </w:tblCellMar>
      </w:tblPr>
      <w:tblGrid>
        <w:gridCol w:w="727"/>
        <w:gridCol w:w="640"/>
        <w:gridCol w:w="642"/>
        <w:gridCol w:w="226"/>
        <w:gridCol w:w="748"/>
        <w:gridCol w:w="126"/>
        <w:gridCol w:w="126"/>
        <w:gridCol w:w="126"/>
        <w:gridCol w:w="126"/>
        <w:gridCol w:w="226"/>
        <w:gridCol w:w="748"/>
        <w:gridCol w:w="126"/>
        <w:gridCol w:w="109"/>
        <w:gridCol w:w="109"/>
        <w:gridCol w:w="109"/>
        <w:gridCol w:w="196"/>
        <w:gridCol w:w="721"/>
        <w:gridCol w:w="109"/>
        <w:gridCol w:w="109"/>
        <w:gridCol w:w="109"/>
        <w:gridCol w:w="109"/>
        <w:gridCol w:w="204"/>
        <w:gridCol w:w="204"/>
        <w:gridCol w:w="568"/>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General and administrative costs for the three months ended March 31, 2026 decreased by $12.9 million, or 28%, compared to the same period in 2025, primarily driven by a $6.4 million</w:t>
      </w:r>
      <w:r>
        <w:rPr>
          <w:color w:val="000000"/>
        </w:rPr>
        <w:t xml:space="preserve"> </w:t>
      </w:r>
      <w:r>
        <w:rPr>
          <w:rFonts w:ascii="Times New Roman;serif" w:hAnsi="Times New Roman;serif"/>
          <w:b w:val="false"/>
          <w:color w:val="000000"/>
          <w:sz w:val="18"/>
        </w:rPr>
        <w:t>lower loss from loan purchases and</w:t>
      </w:r>
      <w:r>
        <w:rPr>
          <w:color w:val="000000"/>
        </w:rPr>
        <w:t xml:space="preserve"> </w:t>
      </w:r>
      <w:r>
        <w:rPr>
          <w:rFonts w:ascii="Times New Roman;serif" w:hAnsi="Times New Roman;serif"/>
          <w:b w:val="false"/>
          <w:color w:val="000000"/>
          <w:sz w:val="18"/>
        </w:rPr>
        <w:t>a $5.1 million</w:t>
      </w:r>
      <w:r>
        <w:rPr>
          <w:color w:val="000000"/>
        </w:rPr>
        <w:t xml:space="preserve"> </w:t>
      </w:r>
      <w:r>
        <w:rPr>
          <w:rFonts w:ascii="Times New Roman;serif" w:hAnsi="Times New Roman;serif"/>
          <w:b w:val="false"/>
          <w:color w:val="000000"/>
          <w:sz w:val="18"/>
        </w:rPr>
        <w:t>decrease in compensation expenses, including share-based compensation.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Gains and (Losses) on Investments in Loans and Securities</w:t>
      </w:r>
    </w:p>
    <w:tbl>
      <w:tblPr>
        <w:tblW w:w="9298" w:type="dxa"/>
        <w:jc w:val="left"/>
        <w:tblInd w:w="0" w:type="dxa"/>
        <w:tblLayout w:type="fixed"/>
        <w:tblCellMar>
          <w:top w:w="28" w:type="dxa"/>
          <w:left w:w="28" w:type="dxa"/>
          <w:bottom w:w="28" w:type="dxa"/>
          <w:right w:w="28" w:type="dxa"/>
        </w:tblCellMar>
      </w:tblPr>
      <w:tblGrid>
        <w:gridCol w:w="1504"/>
        <w:gridCol w:w="1323"/>
        <w:gridCol w:w="1327"/>
        <w:gridCol w:w="212"/>
        <w:gridCol w:w="782"/>
        <w:gridCol w:w="118"/>
        <w:gridCol w:w="118"/>
        <w:gridCol w:w="118"/>
        <w:gridCol w:w="118"/>
        <w:gridCol w:w="212"/>
        <w:gridCol w:w="782"/>
        <w:gridCol w:w="118"/>
        <w:gridCol w:w="109"/>
        <w:gridCol w:w="109"/>
        <w:gridCol w:w="109"/>
        <w:gridCol w:w="196"/>
        <w:gridCol w:w="631"/>
        <w:gridCol w:w="109"/>
        <w:gridCol w:w="109"/>
        <w:gridCol w:w="109"/>
        <w:gridCol w:w="109"/>
        <w:gridCol w:w="204"/>
        <w:gridCol w:w="204"/>
        <w:gridCol w:w="568"/>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Losses on investments in loans and securities for the three months ended March 31, 2026 increased $9.0 million compared to the same period in 2025. The increase was primarily due to a $13.7 million increase in net losses from the redemption of certain investments. This increase was partially offset by a $4.2 million decrease in credit-related impairment losses on ABS securities. Of the credit-related impairment loss in the current period, $0.5 million is attributable to the noncontrolling interests in certain VIEs and accordingly, does not impact net income attributable to Pagaya shareholders.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Other Expense, Net</w:t>
      </w:r>
    </w:p>
    <w:tbl>
      <w:tblPr>
        <w:tblW w:w="6509" w:type="dxa"/>
        <w:jc w:val="left"/>
        <w:tblInd w:w="0" w:type="dxa"/>
        <w:tblLayout w:type="fixed"/>
        <w:tblCellMar>
          <w:top w:w="28" w:type="dxa"/>
          <w:left w:w="28" w:type="dxa"/>
          <w:bottom w:w="28" w:type="dxa"/>
          <w:right w:w="28" w:type="dxa"/>
        </w:tblCellMar>
      </w:tblPr>
      <w:tblGrid>
        <w:gridCol w:w="520"/>
        <w:gridCol w:w="458"/>
        <w:gridCol w:w="462"/>
        <w:gridCol w:w="212"/>
        <w:gridCol w:w="782"/>
        <w:gridCol w:w="118"/>
        <w:gridCol w:w="118"/>
        <w:gridCol w:w="118"/>
        <w:gridCol w:w="118"/>
        <w:gridCol w:w="212"/>
        <w:gridCol w:w="782"/>
        <w:gridCol w:w="118"/>
        <w:gridCol w:w="109"/>
        <w:gridCol w:w="109"/>
        <w:gridCol w:w="109"/>
        <w:gridCol w:w="196"/>
        <w:gridCol w:w="556"/>
        <w:gridCol w:w="109"/>
        <w:gridCol w:w="109"/>
        <w:gridCol w:w="109"/>
        <w:gridCol w:w="109"/>
        <w:gridCol w:w="204"/>
        <w:gridCol w:w="204"/>
        <w:gridCol w:w="568"/>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Other expense, net for the three months ended March 31, 2026 decreased $3.2 million compared to the same period in 2025. The decrease resulted from a $5.3 million favorable fluctuation in the fair value of warrant liability and a $1.6 million decrease in interest expense from borrowings, partially offset by the absence of a $3.2 million favorable impact we had in the prior year from the change in fair value of contingent liability associated with the acquisition of Theorem.</w:t>
      </w:r>
    </w:p>
    <w:p>
      <w:pPr>
        <w:pStyle w:val="TextBody"/>
        <w:bidi w:val="0"/>
        <w:spacing w:lineRule="auto" w:line="276" w:before="220" w:after="283"/>
        <w:jc w:val="both"/>
        <w:rPr>
          <w:rFonts w:ascii="Times New Roman;serif" w:hAnsi="Times New Roman;serif"/>
          <w:b/>
          <w:color w:val="000000"/>
          <w:sz w:val="18"/>
        </w:rPr>
      </w:pPr>
      <w:r>
        <w:rPr>
          <w:rFonts w:ascii="Times New Roman;serif" w:hAnsi="Times New Roman;serif"/>
          <w:b/>
          <w:color w:val="000000"/>
          <w:sz w:val="18"/>
        </w:rPr>
        <w:t>Gains from Extinguishment of Debt</w:t>
      </w:r>
    </w:p>
    <w:tbl>
      <w:tblPr>
        <w:tblW w:w="7527" w:type="dxa"/>
        <w:jc w:val="left"/>
        <w:tblInd w:w="0" w:type="dxa"/>
        <w:tblLayout w:type="fixed"/>
        <w:tblCellMar>
          <w:top w:w="28" w:type="dxa"/>
          <w:left w:w="28" w:type="dxa"/>
          <w:bottom w:w="28" w:type="dxa"/>
          <w:right w:w="28" w:type="dxa"/>
        </w:tblCellMar>
      </w:tblPr>
      <w:tblGrid>
        <w:gridCol w:w="940"/>
        <w:gridCol w:w="825"/>
        <w:gridCol w:w="830"/>
        <w:gridCol w:w="286"/>
        <w:gridCol w:w="615"/>
        <w:gridCol w:w="159"/>
        <w:gridCol w:w="159"/>
        <w:gridCol w:w="159"/>
        <w:gridCol w:w="159"/>
        <w:gridCol w:w="286"/>
        <w:gridCol w:w="594"/>
        <w:gridCol w:w="159"/>
        <w:gridCol w:w="109"/>
        <w:gridCol w:w="109"/>
        <w:gridCol w:w="109"/>
        <w:gridCol w:w="196"/>
        <w:gridCol w:w="421"/>
        <w:gridCol w:w="109"/>
        <w:gridCol w:w="109"/>
        <w:gridCol w:w="109"/>
        <w:gridCol w:w="109"/>
        <w:gridCol w:w="285"/>
        <w:gridCol w:w="285"/>
        <w:gridCol w:w="406"/>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Gains from extinguishment of debt</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Gain from extinguishment of debt was related to the $7.4 million repurchase of the outstanding 2030 Notes at a price equal to 87.3% of the principal amount.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Income Tax Expense (Benefit)</w:t>
      </w:r>
    </w:p>
    <w:tbl>
      <w:tblPr>
        <w:tblW w:w="7241" w:type="dxa"/>
        <w:jc w:val="left"/>
        <w:tblInd w:w="0" w:type="dxa"/>
        <w:tblLayout w:type="fixed"/>
        <w:tblCellMar>
          <w:top w:w="28" w:type="dxa"/>
          <w:left w:w="28" w:type="dxa"/>
          <w:bottom w:w="28" w:type="dxa"/>
          <w:right w:w="28" w:type="dxa"/>
        </w:tblCellMar>
      </w:tblPr>
      <w:tblGrid>
        <w:gridCol w:w="781"/>
        <w:gridCol w:w="688"/>
        <w:gridCol w:w="691"/>
        <w:gridCol w:w="238"/>
        <w:gridCol w:w="675"/>
        <w:gridCol w:w="132"/>
        <w:gridCol w:w="132"/>
        <w:gridCol w:w="132"/>
        <w:gridCol w:w="132"/>
        <w:gridCol w:w="238"/>
        <w:gridCol w:w="766"/>
        <w:gridCol w:w="132"/>
        <w:gridCol w:w="109"/>
        <w:gridCol w:w="109"/>
        <w:gridCol w:w="109"/>
        <w:gridCol w:w="196"/>
        <w:gridCol w:w="556"/>
        <w:gridCol w:w="109"/>
        <w:gridCol w:w="109"/>
        <w:gridCol w:w="109"/>
        <w:gridCol w:w="109"/>
        <w:gridCol w:w="210"/>
        <w:gridCol w:w="211"/>
        <w:gridCol w:w="568"/>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pPr>
      <w:r>
        <w:rPr>
          <w:rFonts w:ascii="Times New Roman;serif" w:hAnsi="Times New Roman;serif"/>
          <w:b w:val="false"/>
          <w:color w:val="000000"/>
          <w:sz w:val="18"/>
        </w:rPr>
        <w:t>Income tax expense increased $5.7 million for the three months ended March 31, 2026, compared to the same period in 2025. The increase was primarily attributable to change in uncertain tax positions, including a decrease during the three months ended March 31, 2025</w:t>
      </w:r>
      <w:r>
        <w:rPr>
          <w:rFonts w:ascii="Arial;sans-serif" w:hAnsi="Arial;sans-serif"/>
          <w:b w:val="false"/>
          <w:color w:val="000000"/>
          <w:sz w:val="24"/>
        </w:rPr>
        <w:t xml:space="preserve">, </w:t>
      </w:r>
      <w:r>
        <w:rPr>
          <w:rFonts w:ascii="Times New Roman;serif" w:hAnsi="Times New Roman;serif"/>
          <w:b w:val="false"/>
          <w:color w:val="000000"/>
          <w:sz w:val="18"/>
        </w:rPr>
        <w:t>compared an increase during the three months ended March 31, 2026.</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Net Loss Attributable to Noncontrolling Interests</w:t>
      </w:r>
    </w:p>
    <w:tbl>
      <w:tblPr>
        <w:tblW w:w="8489" w:type="dxa"/>
        <w:jc w:val="left"/>
        <w:tblInd w:w="0" w:type="dxa"/>
        <w:tblLayout w:type="fixed"/>
        <w:tblCellMar>
          <w:top w:w="28" w:type="dxa"/>
          <w:left w:w="28" w:type="dxa"/>
          <w:bottom w:w="28" w:type="dxa"/>
          <w:right w:w="28" w:type="dxa"/>
        </w:tblCellMar>
      </w:tblPr>
      <w:tblGrid>
        <w:gridCol w:w="1239"/>
        <w:gridCol w:w="1089"/>
        <w:gridCol w:w="1091"/>
        <w:gridCol w:w="245"/>
        <w:gridCol w:w="620"/>
        <w:gridCol w:w="136"/>
        <w:gridCol w:w="136"/>
        <w:gridCol w:w="136"/>
        <w:gridCol w:w="136"/>
        <w:gridCol w:w="245"/>
        <w:gridCol w:w="789"/>
        <w:gridCol w:w="136"/>
        <w:gridCol w:w="109"/>
        <w:gridCol w:w="109"/>
        <w:gridCol w:w="109"/>
        <w:gridCol w:w="196"/>
        <w:gridCol w:w="556"/>
        <w:gridCol w:w="109"/>
        <w:gridCol w:w="109"/>
        <w:gridCol w:w="109"/>
        <w:gridCol w:w="109"/>
        <w:gridCol w:w="204"/>
        <w:gridCol w:w="204"/>
        <w:gridCol w:w="568"/>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for the three months ended March 31, 2026 decreased $4.9 million compared to the same period in 2025. The decrease was driven by the net loss generated by our consolidated VIEs associated with our risk retention holdings. This amount represented the net loss of the consolidated VIEs held by other investors in the VIE for which we had no economic rights. This amount was primarily driven by a $5.2 million decrease in credit-related impairment loss on the risk retention holdings, partially offset by a $0.4 million decrease in net income generated by consolidated VIEs. For further information regarding credit-related impairment losses, see “—Total Revenue and Other Income” and “—Gains and (Losses) on Investments in Loans and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Reconciliation of Non-GAAP Financial Measures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 supplement our consolidated financial statements prepared and presented in accordance with U.S. GAAP, we use the non-GAAP financial measures FRLPC, Fee Revenue Less Production Costs as Percentage of Network Volume (FRLPC %), Adjusted Net Income, and Adjusted EBITDA to provide investors with additional information about our financial performance and to enhance the overall 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U.S. GAAP.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 address these limitations, we provide a reconciliation of FRLPC, FRLPC %, Adjusted Net Income, and Adjusted EBITDA to the most directly comparable U.S. GAAP measure. We encourage investors and others to review our financial information in its entirety, not to rely on any single financial measure and to view FRLPC, FRLPC %, Adjusted Net Income, and Adjusted EBITDA in conjunction with their respective related U.S. GAAP financial measures.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FRLPC, FRLPC %, Adjusted Net Income, and Adjusted EBITDA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FRLPC, FRLPC %, Adjusted Net Income, and Adjusted EBITDA for the three months ended March 31, 2026 and 2025 are summarized below ($ in thousands):</w:t>
      </w:r>
    </w:p>
    <w:p>
      <w:pPr>
        <w:pStyle w:val="TextBody"/>
        <w:bidi w:val="0"/>
        <w:spacing w:before="0" w:after="0"/>
        <w:jc w:val="left"/>
        <w:rPr/>
      </w:pPr>
      <w:r>
        <w:rPr/>
      </w:r>
    </w:p>
    <w:tbl>
      <w:tblPr>
        <w:tblW w:w="6978" w:type="dxa"/>
        <w:jc w:val="left"/>
        <w:tblInd w:w="0" w:type="dxa"/>
        <w:tblLayout w:type="fixed"/>
        <w:tblCellMar>
          <w:top w:w="28" w:type="dxa"/>
          <w:left w:w="28" w:type="dxa"/>
          <w:bottom w:w="28" w:type="dxa"/>
          <w:right w:w="28" w:type="dxa"/>
        </w:tblCellMar>
      </w:tblPr>
      <w:tblGrid>
        <w:gridCol w:w="1373"/>
        <w:gridCol w:w="1209"/>
        <w:gridCol w:w="1212"/>
        <w:gridCol w:w="196"/>
        <w:gridCol w:w="736"/>
        <w:gridCol w:w="256"/>
        <w:gridCol w:w="109"/>
        <w:gridCol w:w="109"/>
        <w:gridCol w:w="109"/>
        <w:gridCol w:w="196"/>
        <w:gridCol w:w="736"/>
        <w:gridCol w:w="256"/>
        <w:gridCol w:w="109"/>
        <w:gridCol w:w="109"/>
        <w:gridCol w:w="109"/>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Revenue Less Production Cost (FRLPC)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Revenue Less Production Costs % (FRLPC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FRLPC is defined as operating income plus technology, data and product development, sales and marketing, and general and administrative costs, and less interest income and net investment income (loss). We use FRLPC as part of our overall assessment of performance, including the preparation of our annual budget and quarterly forecasts, to evaluate the effectiveness of our business strategies, and to communicate with our Board of Directors concerning our financial performance. The Company is including a reconciliation between FRLPC and operating income, which we consider the most directly comparable GAAP financial measure. FRLPC is designed to assess operational efficiency by measuring fee revenue against production costs, excluding operating expenses not directly tied to revenue production, such as technology development, sales and marketing, and general and administrative costs. FRLPC is intended to highlight the scalability of our platform as Network Volume (the gross dollar amount of assets originated or services rendered using our technology) increases, demonstrating our ability to efficiently generate fee revenue while managing production costs. FRLPC %, defined as FRLPC divided by Network Volume, further illustrates this efficiency, showing how effectively we convert Network Volume into fee revenue relative to production costs as our platform scales.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Adjusted Net Income is defined as net income (loss) attributable to Pagaya Technologies Ltd. excluding share-based compensation expense, change in fair value of contingent liability, change in fair value of warrant liability, impairment, including credit-related charges, restructuring expenses, transaction-related expenses, and non-recurring expenses associated with mergers and acquisitions and other one-time expenses. Adjusted EBITDA is defined as net income (loss) attributable to Pagaya Technologies Ltd. excluding share-based compensation expense, change in fair value of contingent liability, change in fair value of warrant liability, impairment, including credit-related charges, restructuring expenses, transaction-related expenses, non-recurring expenses associated with mergers and acquisitions and other one-time expenses, interest expense, income tax expense (benefit), and depreciation and amortization. These items are excluded from our Adjusted Net Income and Adjusted EBITDA measures because they are noncash in nature, or because the amount and timing of these items is unpredictable, is not driven by core results of operations and renders comparisons with prior periods and competitors less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believe FRLPC, FRLPC %, Adjusted Net Income, and Adjusted EBITDA provide useful information to investors and others in understanding and evaluating our results of operations, as well as providing a useful measure for period-to-period comparisons of our business performance. Moreover, we have included FRLPC, FRLPC %, Adjusted Net Income, and Adjusted EBITDA in this report because these are key measurements used by our management internally to make operating decisions, including those related to operating expenses, evaluate performance, and perform strategic planning and annual budgeting. However, these non-GAAP financial measures are presented for supplemental informational purposes only, should not be considered a substitute for or superior to financial information presented in accordance with U.S. GAAP and may be different from similarly titled non-GAAP financial measures used by other companies.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present reconciliations of FRLPC to operating income, and Adjusted EBITDA to net income (loss) attributable to Pagaya Technologies Ltd., in each case the most directly comparable U.S. GAAP measure ($ in thousands, unless otherwise noted):</w:t>
      </w:r>
    </w:p>
    <w:p>
      <w:pPr>
        <w:pStyle w:val="TextBody"/>
        <w:bidi w:val="0"/>
        <w:spacing w:before="0" w:after="0"/>
        <w:jc w:val="both"/>
        <w:rPr/>
      </w:pPr>
      <w:r>
        <w:rPr/>
      </w:r>
    </w:p>
    <w:tbl>
      <w:tblPr>
        <w:tblW w:w="7249" w:type="dxa"/>
        <w:jc w:val="left"/>
        <w:tblInd w:w="0" w:type="dxa"/>
        <w:tblLayout w:type="fixed"/>
        <w:tblCellMar>
          <w:top w:w="28" w:type="dxa"/>
          <w:left w:w="28" w:type="dxa"/>
          <w:bottom w:w="28" w:type="dxa"/>
          <w:right w:w="28" w:type="dxa"/>
        </w:tblCellMar>
      </w:tblPr>
      <w:tblGrid>
        <w:gridCol w:w="1472"/>
        <w:gridCol w:w="1293"/>
        <w:gridCol w:w="1300"/>
        <w:gridCol w:w="196"/>
        <w:gridCol w:w="736"/>
        <w:gridCol w:w="256"/>
        <w:gridCol w:w="109"/>
        <w:gridCol w:w="109"/>
        <w:gridCol w:w="109"/>
        <w:gridCol w:w="196"/>
        <w:gridCol w:w="736"/>
        <w:gridCol w:w="256"/>
        <w:gridCol w:w="109"/>
        <w:gridCol w:w="109"/>
        <w:gridCol w:w="109"/>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Technology, data and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Investment income (loss),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 Less Production Costs (FRLPC)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 Volume (in millions)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 Less Production Costs % (FRLPC %)</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274" w:type="dxa"/>
        <w:jc w:val="left"/>
        <w:tblInd w:w="0" w:type="dxa"/>
        <w:tblLayout w:type="fixed"/>
        <w:tblCellMar>
          <w:top w:w="28" w:type="dxa"/>
          <w:left w:w="28" w:type="dxa"/>
          <w:bottom w:w="28" w:type="dxa"/>
          <w:right w:w="28" w:type="dxa"/>
        </w:tblCellMar>
      </w:tblPr>
      <w:tblGrid>
        <w:gridCol w:w="1525"/>
        <w:gridCol w:w="1343"/>
        <w:gridCol w:w="1347"/>
        <w:gridCol w:w="226"/>
        <w:gridCol w:w="748"/>
        <w:gridCol w:w="126"/>
        <w:gridCol w:w="126"/>
        <w:gridCol w:w="126"/>
        <w:gridCol w:w="126"/>
        <w:gridCol w:w="226"/>
        <w:gridCol w:w="748"/>
        <w:gridCol w:w="126"/>
        <w:gridCol w:w="109"/>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Pagaya Technologies Ltd.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to contingent liability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to warrant liability</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certain investments, net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capitalized software and other assets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expenses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Non-recurring expenses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79,583 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and December 31, 2025, the principal sources of liquidity were cash and cash equivalents, and restricted cash and cash equivalents of $380.0 million and $288.3 million, respectively. We believe these sources will be sufficient to meet our current liquidity needs for the next twelve months, from the date of issuance of the unaudited condensed consolidated financial statements included elsewhere in this Form 10-Q, and be sufficient to support our future cash needs, however, we can provide no assurance that our liquidity and capital resources will meet future funding requirements.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primary requirements for liquidity and capital resources are to purchase and finance risk retention requirements, invest in technology, data and product development and to attract, recruit and retain a strong employee base, as well as to fund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strategic transactions, including acquisitions, if any. We intend to continue to make strategic investments to support our business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do not have capital expenditure commitments as the vast majority of our capital expenditures relate to the capitalization of certain compensation and non-compensation expenditures used in the development and improvement of our proprietary technology.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are numerous risks to the Company’s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We expect to fund our operations with existing cash and cash equivalents, cash generated from operations, including cash flows from investments in loans and securities, and additional secured borrowing, including repurchase agreements. We may also raise additional capital, including through borrowings, as described in the section below titled “</w:t>
      </w:r>
      <w:r>
        <w:rPr>
          <w:rFonts w:ascii="Times New Roman;serif" w:hAnsi="Times New Roman;serif"/>
          <w:b w:val="false"/>
          <w:i/>
          <w:color w:val="000000"/>
          <w:sz w:val="18"/>
        </w:rPr>
        <w:t>2025 Revolving Credit Facility,</w:t>
      </w:r>
      <w:r>
        <w:rPr>
          <w:color w:val="000000"/>
        </w:rPr>
        <w:t xml:space="preserve">” </w:t>
      </w:r>
      <w:r>
        <w:rPr>
          <w:rFonts w:ascii="Times New Roman;serif" w:hAnsi="Times New Roman;serif"/>
          <w:b w:val="false"/>
          <w:color w:val="000000"/>
          <w:sz w:val="18"/>
        </w:rPr>
        <w:t>or through the sale or issuance of equity or debt securities, as described below in the sections titled “</w:t>
      </w:r>
      <w:r>
        <w:rPr>
          <w:rFonts w:ascii="Times New Roman;serif" w:hAnsi="Times New Roman;serif"/>
          <w:b w:val="false"/>
          <w:i/>
          <w:color w:val="000000"/>
          <w:sz w:val="18"/>
        </w:rPr>
        <w:t>Shelf Registration Statement</w:t>
      </w:r>
      <w:r>
        <w:rPr>
          <w:color w:val="000000"/>
        </w:rPr>
        <w:t xml:space="preserve">” </w:t>
      </w:r>
      <w:r>
        <w:rPr>
          <w:rFonts w:ascii="Times New Roman;serif" w:hAnsi="Times New Roman;serif"/>
          <w:b w:val="false"/>
          <w:color w:val="000000"/>
          <w:sz w:val="18"/>
        </w:rPr>
        <w:t>and “</w:t>
      </w:r>
      <w:r>
        <w:rPr>
          <w:rFonts w:ascii="Times New Roman;serif" w:hAnsi="Times New Roman;serif"/>
          <w:b w:val="false"/>
          <w:i/>
          <w:color w:val="000000"/>
          <w:sz w:val="18"/>
        </w:rPr>
        <w:t>Senior Notes</w:t>
      </w:r>
      <w:r>
        <w:rPr>
          <w:rFonts w:ascii="Times New Roman;serif" w:hAnsi="Times New Roman;serif"/>
          <w:b w:val="false"/>
          <w:color w:val="000000"/>
          <w:sz w:val="18"/>
        </w:rPr>
        <w:t xml:space="preserve">,” as well as the issuance of up to an additional 1,666,666 Series A Preferred Shares.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financing, including debt financing, secured borrowing, or equity financing. The rates, terms, covenants and availability of such additional financing are not guaranteed and will be dependent on not only macro-economic factors, but also on Pagaya-specific factors such as the results of our operations and the returns generated by loans originated with the assistance of our AI technology.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Additional debt financing, such as secured or unsecured borrowings, including repurchase agreements, credit facilities or corporate bonds, and equity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we will receive the proceeds from any exercise of any public warrants in cash. Each public warrant that was issued and exchanged for each EJFA Private Placement Warrant in the EJFA Merger entitles the holder thereof to purchase one Class A Ordinary Share at a price of $138 per share (as adjusted for the 1-for-12 reverse share split). Following the 1-for-12 reverse share split effective March 2024, each warrant entitles holder to purchase 1/12 of a Class A Ordinary Share (or equivalently, 12 warrants are required to obtain 1 Class A Ordinary Share). The aggregate amount of proceeds could be up to $169.6 million if all such warrants are exercised for cash. We expect to use any such proceeds for general corporate and working capital purposes, which would increase our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April 30, 2026, the price of our Class A Ordinary Shares was $13.89 per share. We believe the likelihood that warrant holders will exercise their public warrants that were issued in the EJFA Merger, and therefore the amount of cash proceeds that we would receive, is dependent upon the market price of Class A Ordinary Shares. If the market price for our Class A Ordinary Shares is less than $138 per share, we believe warrant holders will be unlikely to exercise on a cash basis their public warrants that were issued in the EJFA Merger. To the extent the public warrants are exercised by warrant holders, ownership interest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Securitizations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asset-backed securitizations, we sponsor and establish securitization vehicles to purchase loans originated by our Partners. Securities issued from our asset-backed securitizations are senior or subordinated, based on the waterfall criteria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loan payments to each security class. The subordinated residual interests issued from these transactions are first to absorb credit losses in accordance with the waterfall criteria.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To comply with risk retention regulatory requirements, we retain at least 5% of the credit risk of the securities issued by securitization vehicles (“Risk Retention”). In addition to these mandatory holdings, we may hold other interests in our securitization vehicles (“Additional Investments”). Additional Investments consist of interests acquired on a discretionary basis, as well as interests previously classified as Risk Retention for which the regulatory holding requirements have expired. We may purchase these Additional Investments to facilitate the execution of specific securitization transactions, or for investment purposes where we believe the risk-adjusted return is attractive. We may also sell Additional Investments when we view the market opportunity as attractive.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carrying value (fair value) of our investments in loans and securities as of March 31, 2026 and December 31, 2025 distinguishing between our Risk Retention and Additional Investments (in thousands):</w:t>
      </w:r>
    </w:p>
    <w:p>
      <w:pPr>
        <w:pStyle w:val="TextBody"/>
        <w:bidi w:val="0"/>
        <w:spacing w:before="0" w:after="0"/>
        <w:jc w:val="both"/>
        <w:rPr/>
      </w:pPr>
      <w:r>
        <w:rPr/>
      </w:r>
    </w:p>
    <w:tbl>
      <w:tblPr>
        <w:tblW w:w="6456" w:type="dxa"/>
        <w:jc w:val="left"/>
        <w:tblInd w:w="0" w:type="dxa"/>
        <w:tblLayout w:type="fixed"/>
        <w:tblCellMar>
          <w:top w:w="28" w:type="dxa"/>
          <w:left w:w="28" w:type="dxa"/>
          <w:bottom w:w="28" w:type="dxa"/>
          <w:right w:w="28" w:type="dxa"/>
        </w:tblCellMar>
      </w:tblPr>
      <w:tblGrid>
        <w:gridCol w:w="1216"/>
        <w:gridCol w:w="1068"/>
        <w:gridCol w:w="1075"/>
        <w:gridCol w:w="109"/>
        <w:gridCol w:w="109"/>
        <w:gridCol w:w="109"/>
        <w:gridCol w:w="196"/>
        <w:gridCol w:w="736"/>
        <w:gridCol w:w="109"/>
        <w:gridCol w:w="109"/>
        <w:gridCol w:w="109"/>
        <w:gridCol w:w="109"/>
        <w:gridCol w:w="214"/>
        <w:gridCol w:w="806"/>
        <w:gridCol w:w="119"/>
        <w:gridCol w:w="109"/>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Risk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404,618 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Risk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504,258 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Additional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Additional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441,011 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Investments in Loans and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945,269 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As of March 31, 2026 and December 31, 2025, our Total Risk Retention represented approximately 52% and 53%</w:t>
      </w:r>
      <w:r>
        <w:rPr>
          <w:color w:val="000000"/>
        </w:rPr>
        <w:t xml:space="preserve"> </w:t>
      </w:r>
      <w:r>
        <w:rPr>
          <w:rFonts w:ascii="Times New Roman;serif" w:hAnsi="Times New Roman;serif"/>
          <w:b w:val="false"/>
          <w:color w:val="000000"/>
          <w:sz w:val="18"/>
        </w:rPr>
        <w:t>of our total investments in loans and securities. As of March 31, 2026, Our Additional Investments totaled $452.2 million at fair value, increasing by $11.2 million compared to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we enter into certain financing arrangements to finance our investments in loans and securities, including both our Risk Retention and Additional Investments. From time to time, the Company makes cash deposits that serve to collateralize guarantees for related transactions, included in restricted cash and cash equivalents on the consolidated balance sheets. For further information, see Note 4 and Note 6 to our unaudited condensed consolidated financial statements included elsewhere in this Quarterly Report.</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Shelf Registration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4, 2023, we filed a shelf registration statement on Form F-3 (the “Shelf Registration”) with the SEC that was declared effective on October 16, 2023. Under this Shelf Registration, we may, from time to time, offer and sell in one 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offerings Class A Ordinary Shares, various series of debt securities and/or warrants to purchase any of such securities, either individually or in combination with any of these securities, up to $500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Cash Flows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summarized consolidated cash flow information for the periods presented (in thousands):</w:t>
      </w:r>
    </w:p>
    <w:p>
      <w:pPr>
        <w:pStyle w:val="TextBody"/>
        <w:bidi w:val="0"/>
        <w:spacing w:before="0" w:after="0"/>
        <w:jc w:val="both"/>
        <w:rPr/>
      </w:pPr>
      <w:r>
        <w:rPr/>
      </w:r>
    </w:p>
    <w:tbl>
      <w:tblPr>
        <w:tblW w:w="6515" w:type="dxa"/>
        <w:jc w:val="left"/>
        <w:tblInd w:w="0" w:type="dxa"/>
        <w:tblLayout w:type="fixed"/>
        <w:tblCellMar>
          <w:top w:w="28" w:type="dxa"/>
          <w:left w:w="28" w:type="dxa"/>
          <w:bottom w:w="28" w:type="dxa"/>
          <w:right w:w="28" w:type="dxa"/>
        </w:tblCellMar>
      </w:tblPr>
      <w:tblGrid>
        <w:gridCol w:w="1332"/>
        <w:gridCol w:w="1166"/>
        <w:gridCol w:w="1176"/>
        <w:gridCol w:w="212"/>
        <w:gridCol w:w="782"/>
        <w:gridCol w:w="118"/>
        <w:gridCol w:w="118"/>
        <w:gridCol w:w="118"/>
        <w:gridCol w:w="118"/>
        <w:gridCol w:w="212"/>
        <w:gridCol w:w="782"/>
        <w:gridCol w:w="118"/>
        <w:gridCol w:w="109"/>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18"/>
        </w:rPr>
      </w:pPr>
      <w:r>
        <w:rPr>
          <w:rFonts w:ascii="Times New Roman;serif" w:hAnsi="Times New Roman;serif"/>
          <w:b/>
          <w:color w:val="000000"/>
          <w:sz w:val="18"/>
        </w:rPr>
        <w:t>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primary uses of cash in operating activities are for the ordinary course of business, with the primary use related to employee and personnel-related expenses. As of March 31, 2026, we had 511 employees (240 in the U.S. and 271 in Israel) compared to 527 employees (273 in the U.S. and 254 in Israel) on March 31, 2025.</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for the three months ended March 31, 2026 was $43.2 million, a of $8.8 million from net cash provided by operating activities of $34.4 million for the same period in 2025. This reflects our net income including noncontrolling interests of $24.2 million, adjusted for non-cash charges of $50.1 million, and net cash outflows of $31.0 million from changes in our operating assets and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Non-cash charges during three months ended March 31, 2026 primarily consisted of (1) impairment losses on investments in loans and securities, which increased by $6.8 million compared to the same period in 2025, primarily driven by changes in the fair value of investments in loans and securities as a result of fluctuations in key inputs to the discounted cash flow models used to determine fair value, partially offset by fair value option gains from ABS resecuritizations at lower interest rates during the current period, of which $1.6 million is not attributable to Pagaya, but rather attributable to the VIEs noncontrolling interests, (2) share-based compensation, which decreased by $6.0 million compared to the same period in 2025, (3) depreciation and amortization, which decreased by $3.9 million compared to the same period in 2025, primarily from capitalized software, and (4) fair value adjustment to warrant liability, which decreased by $5.3 million compared to the same period in 2025, driven by changes in the market price of our Class A Ordinary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net cash flows resulting from changes in operating assets and liabilities decreased by $6.9 million to net cash outflows of $31.0 million for the three months ended March 31, 2026 compared to net cash outflows of $24.2 million for the same period in 2025. </w:t>
      </w:r>
    </w:p>
    <w:p>
      <w:pPr>
        <w:pStyle w:val="TextBody"/>
        <w:bidi w:val="0"/>
        <w:spacing w:lineRule="auto" w:line="288" w:before="220" w:after="283"/>
        <w:jc w:val="both"/>
        <w:rPr/>
      </w:pPr>
      <w:r>
        <w:rPr>
          <w:rFonts w:ascii="Times New Roman;serif" w:hAnsi="Times New Roman;serif"/>
          <w:b/>
          <w:color w:val="000000"/>
          <w:sz w:val="18"/>
        </w:rPr>
        <w:t>Investing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primary uses of cash in investing activities are the purchase of risk retention assets of sponsored securitization vehicles and other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March 31, 2026, net cash used in investing activities totaled $15.9 million, primarily driven by purchases of risk retention assets. These purchases of risk retention assets amounted to $209.1 million, an increase of $127.1 million compared to the prior period. This cash outflow was partially offset by proceeds received from existing risk retention assets, which totaled $196.3 million, an increase of $137.7 million compared to the prior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Financing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For the three months ended March 31, 2026, net cash provided by financing activities of $64.2 million was primarily attributable to $114.7 million of proceeds from the revolving credit facility and $49.3 million of proceeds from secured borrowing, partially offset by $88.0 million and $6.5 million of repayments made to repay our secured borrowing and repurchase the 2030 Notes,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change in financing cash flows compared to the three months ended March 31, 2025, was driven primarily by the $114.7 million draw on the revolving credit facility in the current period, compared to no draws in the prior year period, and a $41.1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million increase in repayments of our secured borrowing, which rose from $46.9 million in the three months ended March 31, 2025 to $88.0 million in the current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Borrowings as of March 31, 2026 primarily includes revolving credit facility, long-term debt, secured borrowings, and exchangeable notes. A detailed description of each of our borrowing arrangements is included in Note 6 Borrowing in the notes to the condensed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2025, the Company refinanced its revolving credit facility by way of terminating its prior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reduction from the prior revolving credit facility’s rate of SOFR plus 7.50%.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 As of March 31, 2026, the Company had $114.7 million in borrowings outstanding, which was repaid in full during the second quarter of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July 28, 2025, the Company, through Pagaya US Holding Company LLC (“Pagaya US”), a wholly-owned subsidiary of the Company, issued $500 million aggregate principal amount of 8.875% Senior Unsecured Notes due 2030 (the “2030 Notes”). The 2030 Notes will accrue interest at a rate of 8.875% per annum, payable semi-annually in arrears on February 1 and August 1 of each year, beginning on February 1, 2026. The 2030 Notes will mature on August 1, 2030, unless earlier repurchased or redeemed. The 2030 Notes will be fully and unconditionally guaranteed, on a senior unsecured basis, by the Company and each of the Company’s subsidiaries (other than Pagaya US) that was a guarantor under the prior credit agreement (collectively, the “Guarantors”). The 2030 Notes and the related note guarantees will be senior unsecured obligations of Pagaya US and the Guarantors.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December 2025, the Company repurchased $6.9 million aggregate principal amount of the outstanding 2030 Notes at a price equal to 87.4% of the principal amount. The Company paid total consideration of $6.0 million, excluding accrued interest, resulting in a $0.7 million net gain on extinguishment of debt. This gain is net of the written-off carrying value, which included associated pro rata unamortized debt issuance costs, and is reported within “Gains and (losses) from extinguishment of debt” in the consolidated statements of operations included in the Annual Report on Form 10-K.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February 2026, the Company repurchased $7.4 million aggregate principal amount of the outstanding 2030 Notes at a price equal to 87.3% of the principal amount. The Company paid total consideration of $6.5 million, excluding accrued interest. This transaction resulted in a $0.8 million gain on extinguishment of debt, which is net of the write-off associated unamortized debt issuance costs and the carrying value of the repurchased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Following the repurchase, the remaining aggregate principal amount of the 2030 Notes outstanding was $485.7 million. As of March 31, 2026, after deducting $10.7 million in unamortized issuance costs, the net carrying amount of the 2030 Notes was $475.0 million, which is recorded within long-term debt on the unaudited condensed consolidated balance sheets.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second quarter of 2026, the Company repurchased $3.8 million of the outstanding 2030 Notes at a price equal to 78.5% of the principal amount. The Company paid total consideration of $3.0 million, excluding accrued interest, resulting in a $0.7 million net gain on extinguishment of debt. This gain is net of the written-off carrying value, which included associated pro rata unamortized debt issuance cost. Following the repurchase, the remaining aggregate principal amount of the 2030 Notes outstanding was $481.9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Receivables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April 2025, Pagaya Structured Products LLC, a wholly-owned subsidiary of the Company, entered into a Loan and Security Agreement (the “LSA Agreement”) with certain lenders. This agreement established a 24-month Capitalized Interest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Facility (the “CIA Facility”) with a maximum principal amount of $24 million to finance eligible capitalized interest amounts related to sponsored securitization transactions. Additionally, in June 2025, Pagaya Structured Products LLC entered into a 30-month Accrued Loan Purchasing Fee Receivables Facility (the “ALPF Facility”) with a maximum principal amount of $65 million to finance certain eligible receivables from sponsored securitization transactions. Borrowings under the CIA Facility bear interest at a rate per annum equal to the adjusted term Secured Overnight Financing Rate (“SOFR”) (subject to a 1.00% floor) plus a margin of 4.00%, while borrowings under the ALPF Facility bear interest at a rate per annum equal to the adjusted term SOFR (subject to a 1.00% floor) plus a margin of 1.9%. As of March 31, 2026 and December 31, 2025, the combined outstanding principal balance under the CIA Facility and ALPF Facility was $80.1 million and $86.6 million, respectively, which is recorded within secured borrowing on the unaudited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Exchangeable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2024, Pagaya US issued $160 million in aggregate principal amount of 6.125% exchangeable notes due 2029 (the “2029 Notes”). The issuance was in connection with a purchase agreement dated September 26, 2024, with certain initial purchasers.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2029 Notes bear interest at a rate of 6.125% per annum, payable semiannually in arrears on April 1 and October 1 of each year, beginning April 1, 2025, and mature on October 1, 2029, unless earlier repurchased, redeemed, or exchanged. The 2029 Notes are exchangeable for cash, Class A Ordinary Shares of the Company, or a combination of both, at the Company’s discretion, subject to certain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further information, see Note 6 to our unaudited condensed consolidated financial statements included elsewhere in this Quarterly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 xml:space="preserve">Contractual Obligations, Commitments and Contingencies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During the normal course of business, we enter into certain lease contracts with lease terms through 2032. As of March 31, 2026, the total remaining contractual obligations are approximately $39.9 million, of which $10.1 million is for the next 12 months. From time to time, the Company enters into a purchase commitment with our third-party cloud computing web services providers. As of March 31, 2026, the total remaining contractual obligations from this purchase commitment are approximately $9.2 million, of which $6.3 million is for the next 12 months. The Company may pay more than the minimum purchase commitment based on usage. Additionally, the Company has contractual obligations related to its lease for corporate office space. See Note 9 for details regarding when these obligations are due.</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our forward flow agreements, loans purchased have a contractual performance requirement which is measured periodically over the life of the underlying loans. If the loan’s performance is below the contractual requirement, the counterparty may have first loss up until a contractual agreed limit. If the loans’ performance is below the counterparty’s first loss limit or if there is no first loss limit, then Pagaya would be required to make a payment to the counterparty such that the loans purchased would have 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March 31, 2026, the unfunded maximum potential amount of undiscounted future payments the Company could be required to make under these guarantees totaled $135.4 million. Additionally, in accordance with the guarantee contracts, the Company is required to fund segregated cash balances to provide protection in the event the Company is not able to meet its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commitments. As of March 31, 2026, $55.5 million has been segregated and recognized within restricted cash in the unaudited condensed consolidated balance sheet in accordance with these contractual requirements.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For a discussion of our long-term debt obligations and operating lease obligations as of March 31, 2026, see Note 6 to our unaudited condensed consolidated financial statements included elsewhere in this Quarterly Report and Note 14 to the consolidated financial statements included in the Annual Report on Form 10-K for additional information.</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Off-Balance Sheet Arrangements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sponsored securitization vehicles. From time to time, we may, but are not obligated to, purchase assets from the Financing Vehicles. Such purchases could expose us to loss. For additional information, refer to Note 5 to the unaudited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significant accounting policies and their effect on our financial condition and results of operations are more fully described in our audited consolidated financial statements included in our Annual Report on Form 10-K. Management has reassessed the critical accounting policies and estimates as disclosed in Note 2 to the audited consolidated financial statements included in our Annual Report on Form 10-K and determined that there were no significant changes in our critical accounting policies and estimates during the three months ended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are exposed to market risks in the ordinary course of our business. Market risk represents the risk of loss that may impact our financial position due to adverse changes in market prices. Our market risk exposure primarily relates to fluctuations in credit risk. We are exposed to market risk directly through investments in loans and securities held on our unaudited condensed consolidated balance sheets and access to the securitization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Credit risk refers to the risk of loss arising from individual borrower default due to inability or unwillingness to meet their financial obligations. The performance of certain financial instruments, including investments in loans, securitization notes and residual certificates on our unaudited condensed consolidated balance sheets, is dependent on the credit performance. To manage this risk, we monitor borrower payment performance and utilize our proprietary, AI-powered technology to evaluate individual loans in a manner that we believe is reflective of the 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fair values of these loans, securitization notes, and residual certificates are estimated based on a discounted cash flow model which involves the use of significant unobservable inputs and assumptions, the most significant of which is expected credit losses. Accordingly, these instruments are sensitive to changes in credit risk. As of March 31, 2026 and December 31, 2025, we were exposed to credit risk on $941 million and $945 million, respectively, of investments in loans and securities held on our unaudited condensed consolidated balance sheet, with $872 million and $871 million, respectively, representing net exposure exclusive of non-controlling interests. We monitor our portfolio risk through internal monitoring as well as competitor / market assessments, reviewing macro-economic trends, and associated stress testing. Loans and related risk retention securities are monitored throughout the entire lifecycle. This risk monitoring framework provides timely and actionable feedback on managing credit risk exposures.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potential effect that changes in estimates would have on the fair value of our investments in loans and securities as of March 31, 2026 given a hypothetical change in significant unobservable inputs (in millions):</w:t>
      </w:r>
    </w:p>
    <w:p>
      <w:pPr>
        <w:pStyle w:val="TextBody"/>
        <w:bidi w:val="0"/>
        <w:spacing w:before="0" w:after="0"/>
        <w:jc w:val="both"/>
        <w:rPr/>
      </w:pPr>
      <w:r>
        <w:rPr/>
      </w:r>
    </w:p>
    <w:tbl>
      <w:tblPr>
        <w:tblW w:w="4949" w:type="dxa"/>
        <w:jc w:val="left"/>
        <w:tblInd w:w="0" w:type="dxa"/>
        <w:tblLayout w:type="fixed"/>
        <w:tblCellMar>
          <w:top w:w="28" w:type="dxa"/>
          <w:left w:w="28" w:type="dxa"/>
          <w:bottom w:w="28" w:type="dxa"/>
          <w:right w:w="28" w:type="dxa"/>
        </w:tblCellMar>
      </w:tblPr>
      <w:tblGrid>
        <w:gridCol w:w="1138"/>
        <w:gridCol w:w="1004"/>
        <w:gridCol w:w="1008"/>
        <w:gridCol w:w="359"/>
        <w:gridCol w:w="1158"/>
        <w:gridCol w:w="282"/>
      </w:tblGrid>
      <w:tr>
        <w:trPr/>
        <w:tc>
          <w:tcPr>
            <w:tcW w:w="113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Fair Value</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Basis point change scenario</w:t>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rate increase of 100 basis point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Credit loss rate decrease of 100 basis point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These scenarios illustrate a hypothetical, instantaneous shift in the value of our investments in loans and securities and do not represent management's performance expectations. As of March 31, 2026, our portfolio is comprised of 49% notes and 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certificates. Of the current portfolio, 9% was originated in 2026, 41% in 2025, 31% in 2024 and 18% in 2023 and prior. We would normally expect more seasoned vintages and more senior investments to be less impacted by changes in credit loss rates. To manage this risk, management integrates these sensitivities into our continuous portfolio monitoring and stress-testing framework, ensuring our operations and capital structure remains resilient to such fluctuations.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also exposed to credit risk in the event of non-performance by the financial institutions holding our cash or providing access to our credit line. We maintain our cash deposits in highly-rated financial institutions. In the United States, the majority of our cash deposits are held at federally insured accounts. We manage this risk by maintaining our cash deposits at well-established, well-capitalized financial institutions and diversifying our counterparties.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Discount Rate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discount rate risk refers to the risk of loss of future earnings, values or future cash flows that may results from change in market discount rates. The fair values of loans, securitization notes, and residual certificates are estimated based on a discounted cash flow model, where the discount rate represents an estimate of the required rate of return by market participants. The changes in the discount rates reflect the expected returns of similar financial instruments available in the market and can be caused by changes in the interest rates.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potential effect that changes in estimates would have on the fair value of our investments in loans and securities as of March 31, 2026 given a hypothetical change in significant unobservable inputs (in millions):</w:t>
      </w:r>
    </w:p>
    <w:p>
      <w:pPr>
        <w:pStyle w:val="TextBody"/>
        <w:bidi w:val="0"/>
        <w:spacing w:before="0" w:after="0"/>
        <w:jc w:val="both"/>
        <w:rPr/>
      </w:pPr>
      <w:r>
        <w:rPr/>
      </w:r>
    </w:p>
    <w:tbl>
      <w:tblPr>
        <w:tblW w:w="4829" w:type="dxa"/>
        <w:jc w:val="left"/>
        <w:tblInd w:w="0" w:type="dxa"/>
        <w:tblLayout w:type="fixed"/>
        <w:tblCellMar>
          <w:top w:w="28" w:type="dxa"/>
          <w:left w:w="28" w:type="dxa"/>
          <w:bottom w:w="28" w:type="dxa"/>
          <w:right w:w="28" w:type="dxa"/>
        </w:tblCellMar>
      </w:tblPr>
      <w:tblGrid>
        <w:gridCol w:w="1095"/>
        <w:gridCol w:w="965"/>
        <w:gridCol w:w="969"/>
        <w:gridCol w:w="440"/>
        <w:gridCol w:w="1014"/>
        <w:gridCol w:w="346"/>
      </w:tblGrid>
      <w:tr>
        <w:trPr/>
        <w:tc>
          <w:tcPr>
            <w:tcW w:w="109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Fair Value</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Basis point change scenario</w:t>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increase of 100 basis point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Discount rate decrease of 100 basis point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scenarios illustrate potential market shifts rather than internal forecasts. While changes in market discount rates—reflecting the required rate of return for market participants—can influence the estimated fair value of our loans and securitization notes and certificates, management incorporates these hypothetical fluctuations into our proactive capital allocation and deal execution strategies. This modeling ensures we maintain operational stability and consistent access to funding across varying market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interest rates charged on the loans originated by Partners are subject to change by the platform sellers, originators, and/or servicers. Higher interest rates could negatively impact collections on the underlying loans, leading to increased delinquencies, defaults, and our borrower bankruptcies, all of which could have a substantial adverse effect on our business. This would also impact future loans and securitizations.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Additionally, we maintain certain financing sources with varying degrees of interest rate sensitivities, including floating-rate interest payments on Pagaya’s credit facilities. Accordingly, trends in the prevailing interest rate environment can influence interest expense/payments and harm our results of our operations. For additional information, see </w:t>
      </w:r>
      <w:r>
        <w:rPr>
          <w:color w:val="000000"/>
        </w:rPr>
        <w:t>“</w:t>
      </w:r>
      <w:r>
        <w:rPr>
          <w:rFonts w:ascii="Times New Roman;serif" w:hAnsi="Times New Roman;serif"/>
          <w:b w:val="false"/>
          <w:i/>
          <w:color w:val="000000"/>
          <w:sz w:val="18"/>
        </w:rPr>
        <w:t>Item 2. Liquidity and Capital Resources”</w:t>
      </w:r>
      <w:r>
        <w:rPr>
          <w:rFonts w:ascii="Times New Roman;serif" w:hAnsi="Times New Roman;serif"/>
          <w:b w:val="false"/>
          <w:color w:val="000000"/>
          <w:sz w:val="18"/>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also rely on securitization transactions, with notes of those transactions typically bearing a fixed coupon. For future securitization issuances, higher interest rates could effect overall deal economics as well as the returns we would generate on our related risk retention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Foreign Exchange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Foreign currency exchange rates do not pose a material market risk exposure. However, given the compensation and non-compensation expenses denominated in NIS, our inability or failure to manage foreign exchange risk could harm our business,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Evaluation of Disclosure Controls and Procedures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maintain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March 31, 2026. Based upon that evaluation, our Chief Executive Officer and Chief Financial Officer concluded that, as of March 31, 2026, our disclosure controls and procedures were effective to accomplish their objectives at the reasonable assurance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Changes in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(as such term is defined in Rules 13a-15(f) and 15d-15(f) under the Exchange Act) that occurred during the quarter ended March 31, 2026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Inherent Limitations on Effectiveness of Internal Control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Please refer to Note 9 “Commitments and Contingencies” of the accompanying notes to our unaudited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From time to time, we may be subject to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risks described under the heading “Risk Factors” in our Annual Report on Form 10-K for the year ended December 31, 2025 could materially and adversely affect our business, financial condition, results of operations, cash flows, future prospects, and the trading price of our Class A Ordinary Shares. The risks and uncertainties described therein are not the only ones we face. Additional risks and uncertainties that we are unaware of or that we currently deem immaterial may also become important factors that adversely affect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You should carefully read and consider such risks, together with all of the other information in our Annual Report on Form 10-K for the year ended December 31, 2025, in this Quarterly Report on Form 10-Q (including the disclosures in the section titled “Management’s Discussion and Analysis of Financial Condition and Results of Operations” and in our unaudited condensed consolidated financial statements and related notes), and in the other documents that we file with the SEC.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from the risk factors previously disclosed under the heading “Risk Factors”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 xml:space="preserve">Item 2. </w:t>
      </w:r>
      <w:r>
        <w:rPr>
          <w:rFonts w:ascii="Times New Roman;serif" w:hAnsi="Times New Roman;serif"/>
          <w:b/>
          <w:color w:val="000000"/>
          <w:sz w:val="18"/>
          <w:shd w:fill="FFFFFF" w:val="clear"/>
        </w:rPr>
        <w:t>Unregistered Sales of Equity Securities and Use of Proceeds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cf7eea802477409a89849483e9a26ba5_7">
        <w:r>
          <w:rPr>
            <w:rStyle w:val="InternetLink"/>
          </w:rPr>
          <w:t>Table of</w:t>
        </w:r>
      </w:hyperlink>
      <w:hyperlink w:anchor="icf7eea802477409a89849483e9a26ba5_7">
        <w:r>
          <w:rPr>
            <w:rStyle w:val="InternetLink"/>
          </w:rPr>
          <w:t xml:space="preserve"> </w:t>
        </w:r>
      </w:hyperlink>
      <w:hyperlink w:anchor="icf7eea802477409a89849483e9a26ba5_7">
        <w:r>
          <w:rPr>
            <w:rStyle w:val="InternetLink"/>
          </w:rPr>
          <w:t>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Director and Officer Trading Plans or other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March 31, 2026, one officer or director entered into a 10b5-1 trading arrangement. Gal Krubiner, a director and the Company’s Chief Executive Officer, entered into a new 10b5-1 Plan on March 25, 2026, with an end date of July 25, 2026, to sell a maximum aggregate of 350,000 shares. Mr. Krubiner’s prior 10b5-1 Plan, adopted on December 19, 2025, was terminated on February 23, 2026 without any sales occurring.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1"/>
        <w:gridCol w:w="248"/>
        <w:gridCol w:w="249"/>
        <w:gridCol w:w="109"/>
        <w:gridCol w:w="109"/>
        <w:gridCol w:w="109"/>
        <w:gridCol w:w="2727"/>
        <w:gridCol w:w="2626"/>
        <w:gridCol w:w="3747"/>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erif" w:hAnsi="Times New Roman;serif"/>
                  <w:b w:val="false"/>
                  <w:color w:val="0000FF"/>
                  <w:sz w:val="18"/>
                  <w:u w:val="single"/>
                </w:rPr>
                <w:t>Articles of Association of Pagaya Technologies Ltd., as amended and restated on December 11, 2024 (incorporated by reference to Exhibit 3.1 of Pagaya Technologies Ltd. Current Report on Form 8-K filed with the SEC on December 12, 2024)</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11ceocertification.htm">
              <w:r>
                <w:rPr>
                  <w:rStyle w:val="InternetLink"/>
                  <w:rFonts w:ascii="Times New Roman;serif" w:hAnsi="Times New Roman;serif"/>
                  <w:b w:val="false"/>
                  <w:color w:val="0000FF"/>
                  <w:sz w:val="18"/>
                  <w:u w:val="single"/>
                </w:rPr>
                <w:t>Certificate of Chief Executive Officer pursuant to Securities Exchange Act Rules 13a-14(a) and 15d-14(a) as adopted pursuant to §302 of the Sarbanes-Oxley Act of 2002</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2cfocertification.htm">
              <w:r>
                <w:rPr>
                  <w:rStyle w:val="InternetLink"/>
                  <w:rFonts w:ascii="Times New Roman;serif" w:hAnsi="Times New Roman;serif"/>
                  <w:b w:val="false"/>
                  <w:color w:val="0000FF"/>
                  <w:sz w:val="18"/>
                  <w:u w:val="single"/>
                </w:rPr>
                <w:t>Certificate of Chief Financial Officer pursuant to Securities Exchange Act Rules 13a-14(a) and 15d-14(a) as adopted pursuant to §302 of the Sarbanes-Oxley Act of 2002</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21ceocertification.htm">
              <w:r>
                <w:rPr>
                  <w:rStyle w:val="InternetLink"/>
                  <w:rFonts w:ascii="Times New Roman;serif" w:hAnsi="Times New Roman;serif"/>
                  <w:b w:val="false"/>
                  <w:color w:val="0000FF"/>
                  <w:sz w:val="18"/>
                  <w:u w:val="single"/>
                </w:rPr>
                <w:t>Certificate of Chief Executive Officer pursuant to 18 U.S.C. §1350, as adopted pursuant to §906 of the Sarbanes-Oxley Act of 2002</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2cfocertification.htm">
              <w:r>
                <w:rPr>
                  <w:rStyle w:val="InternetLink"/>
                  <w:rFonts w:ascii="Times New Roman;serif" w:hAnsi="Times New Roman;serif"/>
                  <w:b w:val="false"/>
                  <w:color w:val="0000FF"/>
                  <w:sz w:val="18"/>
                  <w:u w:val="single"/>
                </w:rPr>
                <w:t>Certificate of Chief Financial Officer pursuant to 18 U.S.C. §1350, as adopted pursuant to §906 of the Sarbanes-Oxley Act of 2002</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r>
    </w:p>
    <w:tbl>
      <w:tblPr>
        <w:tblW w:w="4978" w:type="dxa"/>
        <w:jc w:val="left"/>
        <w:tblInd w:w="0" w:type="dxa"/>
        <w:tblLayout w:type="fixed"/>
        <w:tblCellMar>
          <w:top w:w="28" w:type="dxa"/>
          <w:left w:w="28" w:type="dxa"/>
          <w:bottom w:w="28" w:type="dxa"/>
          <w:right w:w="28" w:type="dxa"/>
        </w:tblCellMar>
      </w:tblPr>
      <w:tblGrid>
        <w:gridCol w:w="525"/>
        <w:gridCol w:w="463"/>
        <w:gridCol w:w="466"/>
        <w:gridCol w:w="189"/>
        <w:gridCol w:w="189"/>
        <w:gridCol w:w="191"/>
        <w:gridCol w:w="864"/>
        <w:gridCol w:w="864"/>
        <w:gridCol w:w="122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May 7, 2026</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 Gal Krubiner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May 7, 2026</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Gal Krubiner, certify that: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Pagaya Technologies Ltd.;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3734"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49"/>
        <w:gridCol w:w="549"/>
        <w:gridCol w:w="77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May 7,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Chief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Evangelos Perros, certify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Pagaya Technologies Ltd.;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3643"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22"/>
        <w:gridCol w:w="522"/>
        <w:gridCol w:w="740"/>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May 7,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Evangelos Perros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Gal Krubiner, Chief Executive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Company’s quarterly report on Form 10-Q for the quarter ended March 31, 2026, to which this Certification is attached as Exhibit 32.1 (the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3734"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49"/>
        <w:gridCol w:w="549"/>
        <w:gridCol w:w="77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May 7,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Chief Executive Officer </w:t>
            </w:r>
          </w:p>
        </w:tc>
      </w:tr>
    </w:tbl>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Evangelos Perros, Chief Financial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Company’s quarterly report on Form 10-Q for the quarter ended March 31, 2026, to which this Certification is attached as Exhibit 32.2 (the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3643"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21"/>
        <w:gridCol w:w="521"/>
        <w:gridCol w:w="742"/>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May 7,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3085/000188308524000202/thirdamendedarticlesofas.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26834</Words>
  <Characters>151162</Characters>
  <CharactersWithSpaces>176494</CharactersWithSpaces>
  <Paragraphs>2783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