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Washington, D.C. 20549</w:t>
      </w:r>
    </w:p>
    <w:p>
      <w:pPr>
        <w:spacing w:after="0" w:line="235" w:lineRule="exact"/>
        <w:rPr>
          <w:sz w:val="24"/>
          <w:szCs w:val="24"/>
          <w:color w:val="auto"/>
        </w:rPr>
      </w:pPr>
    </w:p>
    <w:p>
      <w:pPr>
        <w:ind w:left="5000"/>
        <w:spacing w:after="0"/>
        <w:rPr>
          <w:sz w:val="20"/>
          <w:szCs w:val="20"/>
          <w:color w:val="auto"/>
        </w:rPr>
      </w:pPr>
      <w:r>
        <w:rPr>
          <w:rFonts w:ascii="Arial" w:cs="Arial" w:eastAsia="Arial" w:hAnsi="Arial"/>
          <w:sz w:val="25"/>
          <w:szCs w:val="25"/>
          <w:b w:val="1"/>
          <w:bCs w:val="1"/>
          <w:color w:val="auto"/>
        </w:rPr>
        <w:t>FORM 6-K</w:t>
      </w:r>
    </w:p>
    <w:p>
      <w:pPr>
        <w:spacing w:after="0" w:line="27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SECTION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34"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May 2023</w:t>
      </w:r>
    </w:p>
    <w:p>
      <w:pPr>
        <w:spacing w:after="0" w:line="25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Commission File Number: 001-41430</w:t>
      </w:r>
    </w:p>
    <w:p>
      <w:pPr>
        <w:spacing w:after="0" w:line="236" w:lineRule="exact"/>
        <w:rPr>
          <w:sz w:val="24"/>
          <w:szCs w:val="24"/>
          <w:color w:val="auto"/>
        </w:rPr>
      </w:pPr>
    </w:p>
    <w:p>
      <w:pPr>
        <w:ind w:left="3480"/>
        <w:spacing w:after="0"/>
        <w:rPr>
          <w:sz w:val="20"/>
          <w:szCs w:val="20"/>
          <w:color w:val="auto"/>
        </w:rPr>
      </w:pPr>
      <w:r>
        <w:rPr>
          <w:rFonts w:ascii="Arial" w:cs="Arial" w:eastAsia="Arial" w:hAnsi="Arial"/>
          <w:sz w:val="40"/>
          <w:szCs w:val="40"/>
          <w:b w:val="1"/>
          <w:bCs w:val="1"/>
          <w:color w:val="auto"/>
        </w:rPr>
        <w:t>Pagaya Technologies Ltd.</w:t>
      </w:r>
    </w:p>
    <w:p>
      <w:pPr>
        <w:spacing w:after="0" w:line="4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Azrieli Sarona Bldg, 54th Floor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121 Derech Menachem Begin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Tel-Aviv 6701203, Israel</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+972 (3) 715 0920</w:t>
      </w:r>
    </w:p>
    <w:p>
      <w:pPr>
        <w:spacing w:after="0" w:line="9"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38" w:lineRule="exact"/>
        <w:rPr>
          <w:sz w:val="24"/>
          <w:szCs w:val="24"/>
          <w:color w:val="auto"/>
        </w:rPr>
      </w:pPr>
    </w:p>
    <w:p>
      <w:pPr>
        <w:ind w:left="4620" w:right="1639" w:hanging="4611"/>
        <w:spacing w:after="0" w:line="238"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4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May 16, 2023, Pagaya Technologies Ltd. (“Pagaya”) issued a press release titled “Pagaya Reports First Quarter 2023 Results” in which Pagaya reported its results of operations for the quarter ended March 31, 2023. A copy of that press release is furnished as Exhibit 99.1 hereto. Exhibit 99.1 attached hereto shall not be deemed to “filed” for purposes of Section 18 of the Exchange Act, or otherwise subject to the liabilities of that section, and shall not be deemed incorporated by reference into any filings made by the Company under the Securities Act of 1933, as amended, or the Exchange Act, except as may be expressly set forth by specific reference in such filing.</w:t>
      </w:r>
    </w:p>
    <w:p>
      <w:pPr>
        <w:spacing w:after="0" w:line="2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Pagaya’s Unaudited Condensed Consolidated Interim Financial Statements for the Three Months Ended March 31, 2023 included as Exhibit 99.2 of this Report on Form 6-K (the “Report”), and Management’s Discussion and Analysis of Financial Condition and Results of Operations for the Three Months Ended March 31, 2023 included as Exhibit 99.3 of this Report, shall be deemed to be incorporated by reference into the registration statement on Form S-8 (File No. 333-265739) of Pagaya and any related prospectuses, as such registration statements and prospectuses may be amended from time to time, and to be a part thereof from the date on which this Report is furnished, to the extent not superseded by documents or reports subsequently furnished.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Words such as “may,” “will,” “expect,” “plan,” “anticipate,” “estimate,” “intend” and similar expressions (as well as other words or expressions referencing future events, conditions or circumstances) are intended to identify forward-looking statements. These forward-looking statements are based on Pagaya’s expectations and assumptions as of the date of this Report. Each of these forward-looking statements involves risks and uncertainties. Actual results may differ materially from those expressed or implied by these forward-looking statements. For a discussion of risk factors that may cause Pagaya’s actual results to differ from those expressed or implied in the forward-looking statements in this Report, you should refer to Pagaya’s filings with the U.S. Securities and Exchange Commission, including the “Risk Factors” section contained herein. Except as required by law, Pagaya undertakes no obligation to publicly update any forward-looking statements, whether as a result of new information, future events or otherwise, except as required by law. You should, therefore, not rely on these forward-looking statements as representing Pagaya’s views as of any date subsequent to the date of this Report.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720" w:type="dxa"/>
            <w:vAlign w:val="bottom"/>
          </w:tcPr>
          <w:p>
            <w:pPr>
              <w:ind w:left="3420"/>
              <w:spacing w:after="0"/>
              <w:rPr>
                <w:sz w:val="20"/>
                <w:szCs w:val="20"/>
                <w:color w:val="auto"/>
              </w:rPr>
            </w:pPr>
            <w:r>
              <w:rPr>
                <w:rFonts w:ascii="Arial" w:cs="Arial" w:eastAsia="Arial" w:hAnsi="Arial"/>
                <w:sz w:val="18"/>
                <w:szCs w:val="18"/>
                <w:b w:val="1"/>
                <w:bCs w:val="1"/>
                <w:color w:val="auto"/>
              </w:rPr>
              <w:t>EXHIBIT INDEX</w:t>
            </w:r>
          </w:p>
        </w:tc>
      </w:tr>
      <w:tr>
        <w:trPr>
          <w:trHeight w:val="499"/>
        </w:trPr>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Exhibit No.</w:t>
            </w:r>
          </w:p>
        </w:tc>
        <w:tc>
          <w:tcPr>
            <w:tcW w:w="80" w:type="dxa"/>
            <w:vAlign w:val="bottom"/>
            <w:tcBorders>
              <w:bottom w:val="single" w:sz="8" w:color="CCEEFF"/>
            </w:tcBorders>
          </w:tcPr>
          <w:p>
            <w:pPr>
              <w:spacing w:after="0"/>
              <w:rPr>
                <w:sz w:val="24"/>
                <w:szCs w:val="24"/>
                <w:color w:val="auto"/>
              </w:rPr>
            </w:pPr>
          </w:p>
        </w:tc>
        <w:tc>
          <w:tcPr>
            <w:tcW w:w="9720" w:type="dxa"/>
            <w:vAlign w:val="bottom"/>
            <w:tcBorders>
              <w:bottom w:val="single" w:sz="8" w:color="auto"/>
            </w:tcBorders>
          </w:tcPr>
          <w:p>
            <w:pPr>
              <w:ind w:left="4420"/>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400" w:type="dxa"/>
            <w:vAlign w:val="bottom"/>
            <w:gridSpan w:val="3"/>
            <w:shd w:val="clear" w:color="auto" w:fill="CCEEFF"/>
          </w:tcPr>
          <w:p>
            <w:pPr>
              <w:ind w:left="20"/>
              <w:spacing w:after="0" w:line="169" w:lineRule="exact"/>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80" w:type="dxa"/>
            <w:vAlign w:val="bottom"/>
            <w:shd w:val="clear" w:color="auto" w:fill="CCEEFF"/>
          </w:tcPr>
          <w:p>
            <w:pPr>
              <w:spacing w:after="0"/>
              <w:rPr>
                <w:sz w:val="15"/>
                <w:szCs w:val="15"/>
                <w:color w:val="auto"/>
              </w:rPr>
            </w:pPr>
          </w:p>
        </w:tc>
        <w:tc>
          <w:tcPr>
            <w:tcW w:w="97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Press release, dated May 16, 2023, titled “Pagaya Reports First Quarter 2023 Results”</w:t>
            </w: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9720" w:type="dxa"/>
            <w:vAlign w:val="bottom"/>
            <w:tcBorders>
              <w:top w:val="single" w:sz="8" w:color="CCEEFF"/>
            </w:tcBorders>
            <w:shd w:val="clear" w:color="auto" w:fill="CCEEFF"/>
          </w:tcPr>
          <w:p>
            <w:pPr>
              <w:spacing w:after="0"/>
              <w:rPr>
                <w:sz w:val="5"/>
                <w:szCs w:val="5"/>
                <w:color w:val="auto"/>
              </w:rPr>
            </w:pP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720" w:type="dxa"/>
            <w:vAlign w:val="bottom"/>
          </w:tcPr>
          <w:p>
            <w:pPr>
              <w:spacing w:after="0"/>
              <w:rPr>
                <w:sz w:val="22"/>
                <w:szCs w:val="22"/>
                <w:color w:val="auto"/>
              </w:rPr>
            </w:pPr>
          </w:p>
        </w:tc>
      </w:tr>
      <w:tr>
        <w:trPr>
          <w:trHeight w:val="210"/>
        </w:trPr>
        <w:tc>
          <w:tcPr>
            <w:tcW w:w="140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2</w:t>
            </w:r>
          </w:p>
        </w:tc>
        <w:tc>
          <w:tcPr>
            <w:tcW w:w="80" w:type="dxa"/>
            <w:vAlign w:val="bottom"/>
            <w:shd w:val="clear" w:color="auto" w:fill="CCEEFF"/>
          </w:tcPr>
          <w:p>
            <w:pPr>
              <w:spacing w:after="0"/>
              <w:rPr>
                <w:sz w:val="18"/>
                <w:szCs w:val="18"/>
                <w:color w:val="auto"/>
              </w:rPr>
            </w:pPr>
          </w:p>
        </w:tc>
        <w:tc>
          <w:tcPr>
            <w:tcW w:w="97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Unaudited Condensed Consolidated Interim Financial Statements for the Three Months Ended March 31, 2023</w:t>
            </w:r>
          </w:p>
        </w:tc>
      </w:tr>
      <w:tr>
        <w:trPr>
          <w:trHeight w:val="256"/>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9720" w:type="dxa"/>
            <w:vAlign w:val="bottom"/>
            <w:tcBorders>
              <w:top w:val="single" w:sz="8" w:color="CCEEFF"/>
            </w:tcBorders>
          </w:tcPr>
          <w:p>
            <w:pPr>
              <w:spacing w:after="0"/>
              <w:rPr>
                <w:sz w:val="22"/>
                <w:szCs w:val="22"/>
                <w:color w:val="auto"/>
              </w:rPr>
            </w:pPr>
          </w:p>
        </w:tc>
      </w:tr>
      <w:tr>
        <w:trPr>
          <w:trHeight w:val="189"/>
        </w:trPr>
        <w:tc>
          <w:tcPr>
            <w:tcW w:w="140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3</w:t>
            </w:r>
          </w:p>
        </w:tc>
        <w:tc>
          <w:tcPr>
            <w:tcW w:w="80" w:type="dxa"/>
            <w:vAlign w:val="bottom"/>
            <w:shd w:val="clear" w:color="auto" w:fill="CCEEFF"/>
          </w:tcPr>
          <w:p>
            <w:pPr>
              <w:spacing w:after="0"/>
              <w:rPr>
                <w:sz w:val="16"/>
                <w:szCs w:val="16"/>
                <w:color w:val="auto"/>
              </w:rPr>
            </w:pPr>
          </w:p>
        </w:tc>
        <w:tc>
          <w:tcPr>
            <w:tcW w:w="97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4"/>
              </w:rPr>
              <w:t>Management’s Discussion and Analysis of Financial Condition and Results of Operations for the Three Months Ended March 31,</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9800" w:type="dxa"/>
            <w:vAlign w:val="bottom"/>
            <w:tcBorders>
              <w:top w:val="single" w:sz="8" w:color="CCEEFF"/>
            </w:tcBorders>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2023</w:t>
            </w:r>
          </w:p>
        </w:tc>
      </w:tr>
    </w:tbl>
    <w:p>
      <w:pPr>
        <w:sectPr>
          <w:pgSz w:w="11900" w:h="16838" w:orient="portrait"/>
          <w:cols w:equalWidth="0" w:num="1">
            <w:col w:w="11240"/>
          </w:cols>
          <w:pgMar w:left="320" w:top="141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PAGAYA TECHNOLOGIES LTD.</w:t>
            </w:r>
          </w:p>
        </w:tc>
      </w:tr>
      <w:tr>
        <w:trPr>
          <w:trHeight w:val="378"/>
        </w:trPr>
        <w:tc>
          <w:tcPr>
            <w:tcW w:w="3520" w:type="dxa"/>
            <w:vAlign w:val="bottom"/>
          </w:tcPr>
          <w:p>
            <w:pPr>
              <w:spacing w:after="0"/>
              <w:rPr>
                <w:sz w:val="20"/>
                <w:szCs w:val="20"/>
                <w:color w:val="auto"/>
              </w:rPr>
            </w:pPr>
            <w:r>
              <w:rPr>
                <w:rFonts w:ascii="Arial" w:cs="Arial" w:eastAsia="Arial" w:hAnsi="Arial"/>
                <w:sz w:val="18"/>
                <w:szCs w:val="18"/>
                <w:color w:val="auto"/>
              </w:rPr>
              <w:t>Date: May 16, 2023</w:t>
            </w:r>
          </w:p>
        </w:tc>
        <w:tc>
          <w:tcPr>
            <w:tcW w:w="2920" w:type="dxa"/>
            <w:vAlign w:val="bottom"/>
          </w:tcPr>
          <w:p>
            <w:pPr>
              <w:ind w:left="20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Gal Krubiner</w:t>
            </w:r>
          </w:p>
        </w:tc>
      </w:tr>
      <w:tr>
        <w:trPr>
          <w:trHeight w:val="224"/>
        </w:trPr>
        <w:tc>
          <w:tcPr>
            <w:tcW w:w="3520" w:type="dxa"/>
            <w:vAlign w:val="bottom"/>
          </w:tcPr>
          <w:p>
            <w:pPr>
              <w:spacing w:after="0"/>
              <w:rPr>
                <w:sz w:val="19"/>
                <w:szCs w:val="19"/>
                <w:color w:val="auto"/>
              </w:rPr>
            </w:pPr>
          </w:p>
        </w:tc>
        <w:tc>
          <w:tcPr>
            <w:tcW w:w="2920" w:type="dxa"/>
            <w:vAlign w:val="bottom"/>
          </w:tcPr>
          <w:p>
            <w:pPr>
              <w:ind w:left="2060"/>
              <w:spacing w:after="0"/>
              <w:rPr>
                <w:sz w:val="20"/>
                <w:szCs w:val="20"/>
                <w:color w:val="auto"/>
              </w:rPr>
            </w:pPr>
            <w:r>
              <w:rPr>
                <w:rFonts w:ascii="Arial" w:cs="Arial" w:eastAsia="Arial" w:hAnsi="Arial"/>
                <w:sz w:val="18"/>
                <w:szCs w:val="18"/>
                <w:color w:val="auto"/>
              </w:rPr>
              <w:t>Name:</w:t>
            </w:r>
          </w:p>
        </w:tc>
        <w:tc>
          <w:tcPr>
            <w:tcW w:w="4780" w:type="dxa"/>
            <w:vAlign w:val="bottom"/>
          </w:tcPr>
          <w:p>
            <w:pPr>
              <w:ind w:left="20"/>
              <w:spacing w:after="0"/>
              <w:rPr>
                <w:sz w:val="20"/>
                <w:szCs w:val="20"/>
                <w:color w:val="auto"/>
              </w:rPr>
            </w:pPr>
            <w:r>
              <w:rPr>
                <w:rFonts w:ascii="Arial" w:cs="Arial" w:eastAsia="Arial" w:hAnsi="Arial"/>
                <w:sz w:val="18"/>
                <w:szCs w:val="18"/>
                <w:color w:val="auto"/>
              </w:rPr>
              <w:t>Gal Krubiner</w:t>
            </w:r>
          </w:p>
        </w:tc>
      </w:tr>
      <w:tr>
        <w:trPr>
          <w:trHeight w:val="242"/>
        </w:trPr>
        <w:tc>
          <w:tcPr>
            <w:tcW w:w="3520" w:type="dxa"/>
            <w:vAlign w:val="bottom"/>
          </w:tcPr>
          <w:p>
            <w:pPr>
              <w:spacing w:after="0"/>
              <w:rPr>
                <w:sz w:val="21"/>
                <w:szCs w:val="21"/>
                <w:color w:val="auto"/>
              </w:rPr>
            </w:pPr>
          </w:p>
        </w:tc>
        <w:tc>
          <w:tcPr>
            <w:tcW w:w="2920" w:type="dxa"/>
            <w:vAlign w:val="bottom"/>
          </w:tcPr>
          <w:p>
            <w:pPr>
              <w:ind w:left="2060"/>
              <w:spacing w:after="0"/>
              <w:rPr>
                <w:sz w:val="20"/>
                <w:szCs w:val="20"/>
                <w:color w:val="auto"/>
              </w:rPr>
            </w:pPr>
            <w:r>
              <w:rPr>
                <w:rFonts w:ascii="Arial" w:cs="Arial" w:eastAsia="Arial" w:hAnsi="Arial"/>
                <w:sz w:val="18"/>
                <w:szCs w:val="18"/>
                <w:color w:val="auto"/>
              </w:rPr>
              <w:t>Title:</w:t>
            </w:r>
          </w:p>
        </w:tc>
        <w:tc>
          <w:tcPr>
            <w:tcW w:w="47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743"/>
        </w:trPr>
        <w:tc>
          <w:tcPr>
            <w:tcW w:w="3520" w:type="dxa"/>
            <w:vAlign w:val="bottom"/>
          </w:tcPr>
          <w:p>
            <w:pPr>
              <w:spacing w:after="0"/>
              <w:rPr>
                <w:sz w:val="24"/>
                <w:szCs w:val="24"/>
                <w:color w:val="auto"/>
              </w:rPr>
            </w:pPr>
          </w:p>
        </w:tc>
        <w:tc>
          <w:tcPr>
            <w:tcW w:w="2920" w:type="dxa"/>
            <w:vAlign w:val="bottom"/>
          </w:tcPr>
          <w:p>
            <w:pPr>
              <w:ind w:left="20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Kurlander</w:t>
            </w:r>
          </w:p>
        </w:tc>
      </w:tr>
      <w:tr>
        <w:trPr>
          <w:trHeight w:val="224"/>
        </w:trPr>
        <w:tc>
          <w:tcPr>
            <w:tcW w:w="3520" w:type="dxa"/>
            <w:vAlign w:val="bottom"/>
          </w:tcPr>
          <w:p>
            <w:pPr>
              <w:spacing w:after="0"/>
              <w:rPr>
                <w:sz w:val="19"/>
                <w:szCs w:val="19"/>
                <w:color w:val="auto"/>
              </w:rPr>
            </w:pPr>
          </w:p>
        </w:tc>
        <w:tc>
          <w:tcPr>
            <w:tcW w:w="2920" w:type="dxa"/>
            <w:vAlign w:val="bottom"/>
          </w:tcPr>
          <w:p>
            <w:pPr>
              <w:ind w:left="2060"/>
              <w:spacing w:after="0"/>
              <w:rPr>
                <w:sz w:val="20"/>
                <w:szCs w:val="20"/>
                <w:color w:val="auto"/>
              </w:rPr>
            </w:pPr>
            <w:r>
              <w:rPr>
                <w:rFonts w:ascii="Arial" w:cs="Arial" w:eastAsia="Arial" w:hAnsi="Arial"/>
                <w:sz w:val="18"/>
                <w:szCs w:val="18"/>
                <w:color w:val="auto"/>
              </w:rPr>
              <w:t>Name:</w:t>
            </w:r>
          </w:p>
        </w:tc>
        <w:tc>
          <w:tcPr>
            <w:tcW w:w="4780" w:type="dxa"/>
            <w:vAlign w:val="bottom"/>
          </w:tcPr>
          <w:p>
            <w:pPr>
              <w:ind w:left="20"/>
              <w:spacing w:after="0"/>
              <w:rPr>
                <w:sz w:val="20"/>
                <w:szCs w:val="20"/>
                <w:color w:val="auto"/>
              </w:rPr>
            </w:pPr>
            <w:r>
              <w:rPr>
                <w:rFonts w:ascii="Arial" w:cs="Arial" w:eastAsia="Arial" w:hAnsi="Arial"/>
                <w:sz w:val="18"/>
                <w:szCs w:val="18"/>
                <w:color w:val="auto"/>
              </w:rPr>
              <w:t>Michael Kurlander</w:t>
            </w:r>
          </w:p>
        </w:tc>
      </w:tr>
      <w:tr>
        <w:trPr>
          <w:trHeight w:val="242"/>
        </w:trPr>
        <w:tc>
          <w:tcPr>
            <w:tcW w:w="3520" w:type="dxa"/>
            <w:vAlign w:val="bottom"/>
          </w:tcPr>
          <w:p>
            <w:pPr>
              <w:spacing w:after="0"/>
              <w:rPr>
                <w:sz w:val="21"/>
                <w:szCs w:val="21"/>
                <w:color w:val="auto"/>
              </w:rPr>
            </w:pPr>
          </w:p>
        </w:tc>
        <w:tc>
          <w:tcPr>
            <w:tcW w:w="2920" w:type="dxa"/>
            <w:vAlign w:val="bottom"/>
          </w:tcPr>
          <w:p>
            <w:pPr>
              <w:ind w:left="2060"/>
              <w:spacing w:after="0"/>
              <w:rPr>
                <w:sz w:val="20"/>
                <w:szCs w:val="20"/>
                <w:color w:val="auto"/>
              </w:rPr>
            </w:pPr>
            <w:r>
              <w:rPr>
                <w:rFonts w:ascii="Arial" w:cs="Arial" w:eastAsia="Arial" w:hAnsi="Arial"/>
                <w:sz w:val="18"/>
                <w:szCs w:val="18"/>
                <w:color w:val="auto"/>
              </w:rPr>
              <w:t>Title:</w:t>
            </w:r>
          </w:p>
        </w:tc>
        <w:tc>
          <w:tcPr>
            <w:tcW w:w="47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41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185991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5991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47"/>
          <w:szCs w:val="47"/>
          <w:color w:val="auto"/>
        </w:rPr>
        <w:t>Pagaya Reports First Quarter 2023 Results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i w:val="1"/>
          <w:iCs w:val="1"/>
          <w:color w:val="auto"/>
        </w:rPr>
        <w:t>Exceeded first quarter guidance on all metrics</w:t>
      </w:r>
    </w:p>
    <w:p>
      <w:pPr>
        <w:spacing w:after="0" w:line="253" w:lineRule="exact"/>
        <w:rPr>
          <w:sz w:val="20"/>
          <w:szCs w:val="20"/>
          <w:color w:val="auto"/>
        </w:rPr>
      </w:pPr>
    </w:p>
    <w:p>
      <w:pPr>
        <w:jc w:val="both"/>
        <w:spacing w:after="0" w:line="283" w:lineRule="auto"/>
        <w:rPr>
          <w:sz w:val="20"/>
          <w:szCs w:val="20"/>
          <w:color w:val="auto"/>
        </w:rPr>
      </w:pPr>
      <w:r>
        <w:rPr>
          <w:rFonts w:ascii="Arial" w:cs="Arial" w:eastAsia="Arial" w:hAnsi="Arial"/>
          <w:sz w:val="25"/>
          <w:szCs w:val="25"/>
          <w:i w:val="1"/>
          <w:iCs w:val="1"/>
          <w:color w:val="auto"/>
        </w:rPr>
        <w:t>Network Volume grew 12% year-over-year to $1.85 billion; Total Revenue and Other Income grew 9% year-over-year to $186.6 million; Adjusted EBITDA of $2.0 million</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i w:val="1"/>
          <w:iCs w:val="1"/>
          <w:color w:val="auto"/>
        </w:rPr>
        <w:t>Company raises adjusted EBITDA guidance for full-year 2023</w:t>
      </w:r>
    </w:p>
    <w:p>
      <w:pPr>
        <w:spacing w:after="0" w:line="2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434343"/>
        </w:rPr>
        <w:t>New York, NY and Tel Aviv, Israel – May 16, 2022 – Pagaya Technologies Ltd. (NASDAQ: PGY) (“Pagaya”, the “Company” or “we”), a global technology company delivering artificial intelligence infrastructure for the financial ecosystem, today announced financial results for the first quarter ending March 31, 2023 and raised its adjusted EBITDA guidance for 2023.</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434343"/>
        </w:rPr>
        <w:t>“Our results in 1Q23 were another proof point of our ability to execute through market volatility,” said Gal Krubiner, Chief Executive Officer of Pagaya. “The strength of our AI technology and resilient business model enables us to deliver consistent growth for our partners and asset outperformance for investors. Both existing and new partners are growing rapidly, and we are seeing improving economics as our network expands. We continue to consistently raise funding and grow our investor base to fund partner growth as the number one issuer of personal loan ABS transactions in the U.S. We remain focused on driving sustainable profitability through continued network expansion, increased monetization of our network and operating efficiency, which resulted in a return to positive adjusted EBITDA this quarter. We are raising our adjusted EBITDA guidance for the full-year 2023, as we remain confident in our ability to continue to drive profitable growth.”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434343"/>
        </w:rPr>
        <w:t>First Quarter 2023 Financial Highlights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434343"/>
        </w:rPr>
        <w:t>All comparisons are made versus the same period in 2022 unless otherwise stated</w:t>
      </w:r>
    </w:p>
    <w:p>
      <w:pPr>
        <w:spacing w:after="0" w:line="35" w:lineRule="exact"/>
        <w:rPr>
          <w:sz w:val="20"/>
          <w:szCs w:val="20"/>
          <w:color w:val="auto"/>
        </w:rPr>
      </w:pPr>
    </w:p>
    <w:p>
      <w:pPr>
        <w:ind w:left="660" w:hanging="328"/>
        <w:spacing w:after="0" w:line="232" w:lineRule="auto"/>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Network volume increased 12% to $1,850 million, reflecting continued growth of existing partners and products and ramp-up of newer partners who joined the Pagaya network in the past 12 months</w:t>
      </w:r>
    </w:p>
    <w:p>
      <w:pPr>
        <w:spacing w:after="0" w:line="27" w:lineRule="exact"/>
        <w:rPr>
          <w:rFonts w:ascii="Arial" w:cs="Arial" w:eastAsia="Arial" w:hAnsi="Arial"/>
          <w:sz w:val="22"/>
          <w:szCs w:val="22"/>
          <w:color w:val="auto"/>
        </w:rPr>
      </w:pPr>
    </w:p>
    <w:p>
      <w:pPr>
        <w:ind w:left="660" w:hanging="328"/>
        <w:spacing w:after="0" w:line="239" w:lineRule="auto"/>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Total revenue and other income increased 9% to $186.6 million, driven by higher AI integration and contract fees, offsetting the impact of ongoing capital markets volatility</w:t>
      </w:r>
    </w:p>
    <w:p>
      <w:pPr>
        <w:spacing w:after="0" w:line="27" w:lineRule="exact"/>
        <w:rPr>
          <w:rFonts w:ascii="Arial" w:cs="Arial" w:eastAsia="Arial" w:hAnsi="Arial"/>
          <w:sz w:val="22"/>
          <w:szCs w:val="22"/>
          <w:color w:val="auto"/>
        </w:rPr>
      </w:pPr>
    </w:p>
    <w:p>
      <w:pPr>
        <w:ind w:left="660" w:hanging="328"/>
        <w:spacing w:after="0" w:line="232" w:lineRule="auto"/>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Adjusted EBITDA of $2.0 million, reflecting continued volume growth, increased fee revenue and cost-savings initiatives. Excluding the impact of the Company’s recent acquisition of Darwin, adjusted EBITDA is $4.7 million</w:t>
      </w:r>
    </w:p>
    <w:p>
      <w:pPr>
        <w:spacing w:after="0" w:line="27" w:lineRule="exact"/>
        <w:rPr>
          <w:rFonts w:ascii="Arial" w:cs="Arial" w:eastAsia="Arial" w:hAnsi="Arial"/>
          <w:sz w:val="22"/>
          <w:szCs w:val="22"/>
          <w:color w:val="auto"/>
        </w:rPr>
      </w:pPr>
    </w:p>
    <w:p>
      <w:pPr>
        <w:jc w:val="both"/>
        <w:ind w:left="660" w:hanging="328"/>
        <w:spacing w:after="0" w:line="285" w:lineRule="auto"/>
        <w:tabs>
          <w:tab w:leader="none" w:pos="660" w:val="left"/>
        </w:tabs>
        <w:numPr>
          <w:ilvl w:val="0"/>
          <w:numId w:val="1"/>
        </w:numPr>
        <w:rPr>
          <w:rFonts w:ascii="Arial" w:cs="Arial" w:eastAsia="Arial" w:hAnsi="Arial"/>
          <w:sz w:val="19"/>
          <w:szCs w:val="19"/>
          <w:color w:val="auto"/>
        </w:rPr>
      </w:pPr>
      <w:r>
        <w:rPr>
          <w:rFonts w:ascii="Arial" w:cs="Arial" w:eastAsia="Arial" w:hAnsi="Arial"/>
          <w:sz w:val="16"/>
          <w:szCs w:val="16"/>
          <w:color w:val="auto"/>
        </w:rPr>
        <w:t>Net loss attributable to Pagaya shareholders of $61.0 million, impacted by non-cash items such as share-based compensation expense and the cumulative impact of a change in election to available-for-sale accounting for the Company’s risk retention investments. Adjusted net loss of $11.0 million, which excludes share-based compensation expense, a change in fair value of warrant liability and non-recurring expenses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434343"/>
        </w:rPr>
        <w:t>Recent Business Highlights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234" w:lineRule="exact"/>
        <w:rPr>
          <w:sz w:val="20"/>
          <w:szCs w:val="20"/>
          <w:color w:val="auto"/>
        </w:rPr>
      </w:pPr>
    </w:p>
    <w:p>
      <w:pPr>
        <w:jc w:val="both"/>
        <w:ind w:left="660" w:hanging="328"/>
        <w:spacing w:after="0" w:line="244"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 xml:space="preserve">Network expansion and monetization: </w:t>
      </w:r>
      <w:r>
        <w:rPr>
          <w:rFonts w:ascii="Arial" w:cs="Arial" w:eastAsia="Arial" w:hAnsi="Arial"/>
          <w:sz w:val="18"/>
          <w:szCs w:val="18"/>
          <w:color w:val="auto"/>
        </w:rPr>
        <w:t>Rapid growth of both new and mature partners further strengthened the Company’s AI technology and</w:t>
      </w:r>
      <w:r>
        <w:rPr>
          <w:rFonts w:ascii="Arial" w:cs="Arial" w:eastAsia="Arial" w:hAnsi="Arial"/>
          <w:sz w:val="18"/>
          <w:szCs w:val="18"/>
          <w:b w:val="1"/>
          <w:bCs w:val="1"/>
          <w:color w:val="auto"/>
        </w:rPr>
        <w:t xml:space="preserve"> </w:t>
      </w:r>
      <w:r>
        <w:rPr>
          <w:rFonts w:ascii="Arial" w:cs="Arial" w:eastAsia="Arial" w:hAnsi="Arial"/>
          <w:sz w:val="18"/>
          <w:szCs w:val="18"/>
          <w:color w:val="auto"/>
        </w:rPr>
        <w:t>enabled improved economics via incremental AI integration fees. Partners and channels added in 2022 contributed approximately 20% of total network volume in the first quarter of 2023.</w:t>
      </w:r>
    </w:p>
    <w:p>
      <w:pPr>
        <w:spacing w:after="0" w:line="23" w:lineRule="exact"/>
        <w:rPr>
          <w:rFonts w:ascii="Arial" w:cs="Arial" w:eastAsia="Arial" w:hAnsi="Arial"/>
          <w:sz w:val="22"/>
          <w:szCs w:val="22"/>
          <w:color w:val="auto"/>
        </w:rPr>
      </w:pPr>
    </w:p>
    <w:p>
      <w:pPr>
        <w:jc w:val="both"/>
        <w:ind w:left="660" w:hanging="328"/>
        <w:spacing w:after="0" w:line="242"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 xml:space="preserve">Exercising prudence to optimize asset performance: </w:t>
      </w:r>
      <w:r>
        <w:rPr>
          <w:rFonts w:ascii="Arial" w:cs="Arial" w:eastAsia="Arial" w:hAnsi="Arial"/>
          <w:sz w:val="18"/>
          <w:szCs w:val="18"/>
          <w:color w:val="auto"/>
        </w:rPr>
        <w:t>Conversion rate of applications evaluated in the first quarter of 2023 declined by 46%</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a peak in the third quarter of 2021, while application volume grew by 56% over that same period, as the Company shifted to a more resilient borrower portfolio to deliver target asset returns for investors. Early-stage delinquencies on Q4’22 personal loan vintages are 55% lower than Q4’21 vintages and continued to outperform the market benchmark.</w:t>
      </w:r>
    </w:p>
    <w:p>
      <w:pPr>
        <w:spacing w:after="0" w:line="23" w:lineRule="exact"/>
        <w:rPr>
          <w:rFonts w:ascii="Arial" w:cs="Arial" w:eastAsia="Arial" w:hAnsi="Arial"/>
          <w:sz w:val="22"/>
          <w:szCs w:val="22"/>
          <w:color w:val="auto"/>
        </w:rPr>
      </w:pPr>
    </w:p>
    <w:p>
      <w:pPr>
        <w:jc w:val="both"/>
        <w:ind w:left="660" w:hanging="328"/>
        <w:spacing w:after="0" w:line="239"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 xml:space="preserve">Consistently raising capital: </w:t>
      </w:r>
      <w:r>
        <w:rPr>
          <w:rFonts w:ascii="Arial" w:cs="Arial" w:eastAsia="Arial" w:hAnsi="Arial"/>
          <w:sz w:val="18"/>
          <w:szCs w:val="18"/>
          <w:color w:val="auto"/>
        </w:rPr>
        <w:t>The Company was the number one issuer of personal loan ABS transactions in the U.S. in the first quarter of 2023,</w:t>
      </w:r>
      <w:r>
        <w:rPr>
          <w:rFonts w:ascii="Arial" w:cs="Arial" w:eastAsia="Arial" w:hAnsi="Arial"/>
          <w:sz w:val="18"/>
          <w:szCs w:val="18"/>
          <w:b w:val="1"/>
          <w:bCs w:val="1"/>
          <w:color w:val="auto"/>
        </w:rPr>
        <w:t xml:space="preserve"> </w:t>
      </w:r>
      <w:r>
        <w:rPr>
          <w:rFonts w:ascii="Arial" w:cs="Arial" w:eastAsia="Arial" w:hAnsi="Arial"/>
          <w:sz w:val="18"/>
          <w:szCs w:val="18"/>
          <w:color w:val="auto"/>
        </w:rPr>
        <w:t>reflecting its ability to consistently raise capital to fund partner originations. New strategic investors joined the Company’s funding network and long-term investor, GIC, extended its funding agreement with the Company through 2028.</w:t>
      </w:r>
    </w:p>
    <w:p>
      <w:pPr>
        <w:spacing w:after="0" w:line="24" w:lineRule="exact"/>
        <w:rPr>
          <w:rFonts w:ascii="Arial" w:cs="Arial" w:eastAsia="Arial" w:hAnsi="Arial"/>
          <w:sz w:val="22"/>
          <w:szCs w:val="22"/>
          <w:color w:val="auto"/>
        </w:rPr>
      </w:pPr>
    </w:p>
    <w:p>
      <w:pPr>
        <w:jc w:val="both"/>
        <w:ind w:left="660" w:hanging="328"/>
        <w:spacing w:after="0" w:line="244"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 xml:space="preserve">Path to sustainable profitability: </w:t>
      </w:r>
      <w:r>
        <w:rPr>
          <w:rFonts w:ascii="Arial" w:cs="Arial" w:eastAsia="Arial" w:hAnsi="Arial"/>
          <w:sz w:val="18"/>
          <w:szCs w:val="18"/>
          <w:color w:val="auto"/>
        </w:rPr>
        <w:t>The Company remains committed to delivering sustainable profitability on an adjusted EBITDA basis with</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network monetization and operating efficiency. The Company’s core operating expense ratio excluding the impact of its recent Darwin acquisition (defined as operating expenses excluding share-based compensation expense, depreciation and one-time items as a percentage of total revenue and other income) fell to 29% in the first quarter of 2023, a decline of 3 percentage points sequentially compared to the fourth quarter of 2022.</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434343"/>
        </w:rPr>
        <w:t>Second Quarter 2023 Outlook</w:t>
      </w:r>
    </w:p>
    <w:p>
      <w:pPr>
        <w:spacing w:after="0" w:line="293"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2Q23</w:t>
      </w:r>
    </w:p>
    <w:p>
      <w:pPr>
        <w:sectPr>
          <w:pgSz w:w="11900" w:h="16838" w:orient="portrait"/>
          <w:cols w:equalWidth="0" w:num="1">
            <w:col w:w="11240"/>
          </w:cols>
          <w:pgMar w:left="320" w:top="1440" w:right="339" w:bottom="1440" w:gutter="0" w:footer="0" w:header="0"/>
        </w:sectPr>
      </w:pP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Network Volume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Expected to be between $1.8 billion and $1.9 billion</w:t>
      </w:r>
    </w:p>
    <w:p>
      <w:pPr>
        <w:spacing w:after="0" w:line="73" w:lineRule="exact"/>
        <w:rPr>
          <w:sz w:val="20"/>
          <w:szCs w:val="20"/>
          <w:color w:val="auto"/>
        </w:rPr>
      </w:pPr>
    </w:p>
    <w:p>
      <w:pPr>
        <w:sectPr>
          <w:pgSz w:w="11900" w:h="16838" w:orient="portrait"/>
          <w:cols w:equalWidth="0" w:num="2">
            <w:col w:w="4140" w:space="720"/>
            <w:col w:w="638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Total Revenue and Other Income</w:t>
      </w:r>
    </w:p>
    <w:p>
      <w:pPr>
        <w:spacing w:after="0" w:line="20" w:lineRule="exact"/>
        <w:rPr>
          <w:sz w:val="20"/>
          <w:szCs w:val="20"/>
          <w:color w:val="auto"/>
        </w:rPr>
      </w:pPr>
      <w:r>
        <w:rPr>
          <w:sz w:val="20"/>
          <w:szCs w:val="20"/>
          <w:color w:val="auto"/>
        </w:rPr>
        <w:br w:type="column"/>
      </w:r>
    </w:p>
    <w:p>
      <w:pPr>
        <w:jc w:val="center"/>
        <w:ind w:right="2420"/>
        <w:spacing w:after="0"/>
        <w:rPr>
          <w:sz w:val="20"/>
          <w:szCs w:val="20"/>
          <w:color w:val="auto"/>
        </w:rPr>
      </w:pPr>
      <w:r>
        <w:rPr>
          <w:rFonts w:ascii="Arial" w:cs="Arial" w:eastAsia="Arial" w:hAnsi="Arial"/>
          <w:sz w:val="16"/>
          <w:szCs w:val="16"/>
          <w:color w:val="auto"/>
        </w:rPr>
        <w:t>Expected to be between $180 million and $190 million</w:t>
      </w:r>
    </w:p>
    <w:p>
      <w:pPr>
        <w:spacing w:after="0" w:line="73" w:lineRule="exact"/>
        <w:rPr>
          <w:sz w:val="20"/>
          <w:szCs w:val="20"/>
          <w:color w:val="auto"/>
        </w:rPr>
      </w:pPr>
    </w:p>
    <w:p>
      <w:pPr>
        <w:sectPr>
          <w:pgSz w:w="11900" w:h="16838" w:orient="portrait"/>
          <w:cols w:equalWidth="0" w:num="2">
            <w:col w:w="4140" w:space="720"/>
            <w:col w:w="638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Adjusted EBITDA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Expected to be between $5 million and $10 million</w:t>
      </w:r>
    </w:p>
    <w:p>
      <w:pPr>
        <w:spacing w:after="0" w:line="211" w:lineRule="exact"/>
        <w:rPr>
          <w:sz w:val="20"/>
          <w:szCs w:val="20"/>
          <w:color w:val="auto"/>
        </w:rPr>
      </w:pPr>
    </w:p>
    <w:p>
      <w:pPr>
        <w:sectPr>
          <w:pgSz w:w="11900" w:h="16838" w:orient="portrait"/>
          <w:cols w:equalWidth="0" w:num="2">
            <w:col w:w="4140" w:space="720"/>
            <w:col w:w="6380"/>
          </w:cols>
          <w:pgMar w:left="320" w:top="1440" w:right="33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434343"/>
        </w:rPr>
        <w:t>Full-Year 2023 Outlook</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maintaining its prior outlook for Network Volume and Total Revenue and Other Income, and raising its outlook for Adjusted EBITDA:</w:t>
      </w:r>
    </w:p>
    <w:p>
      <w:pPr>
        <w:spacing w:after="0" w:line="29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FY23</w:t>
      </w:r>
    </w:p>
    <w:p>
      <w:pPr>
        <w:sectPr>
          <w:pgSz w:w="11900" w:h="16838" w:orient="portrait"/>
          <w:cols w:equalWidth="0" w:num="1">
            <w:col w:w="11240"/>
          </w:cols>
          <w:pgMar w:left="320" w:top="1440" w:right="339" w:bottom="1440" w:gutter="0" w:footer="0" w:header="0"/>
          <w:type w:val="continuous"/>
        </w:sectPr>
      </w:pP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Network Volume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Expected to be between $7.5 billion and $8.0 billion</w:t>
      </w:r>
    </w:p>
    <w:p>
      <w:pPr>
        <w:spacing w:after="0" w:line="73" w:lineRule="exact"/>
        <w:rPr>
          <w:sz w:val="20"/>
          <w:szCs w:val="20"/>
          <w:color w:val="auto"/>
        </w:rPr>
      </w:pPr>
    </w:p>
    <w:p>
      <w:pPr>
        <w:sectPr>
          <w:pgSz w:w="11900" w:h="16838" w:orient="portrait"/>
          <w:cols w:equalWidth="0" w:num="2">
            <w:col w:w="4140" w:space="720"/>
            <w:col w:w="638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Total Revenue and Other Income</w:t>
      </w:r>
    </w:p>
    <w:p>
      <w:pPr>
        <w:spacing w:after="0" w:line="20" w:lineRule="exact"/>
        <w:rPr>
          <w:sz w:val="20"/>
          <w:szCs w:val="20"/>
          <w:color w:val="auto"/>
        </w:rPr>
      </w:pPr>
      <w:r>
        <w:rPr>
          <w:sz w:val="20"/>
          <w:szCs w:val="20"/>
          <w:color w:val="auto"/>
        </w:rPr>
        <w:br w:type="column"/>
      </w:r>
    </w:p>
    <w:p>
      <w:pPr>
        <w:jc w:val="center"/>
        <w:ind w:right="2420"/>
        <w:spacing w:after="0"/>
        <w:rPr>
          <w:sz w:val="20"/>
          <w:szCs w:val="20"/>
          <w:color w:val="auto"/>
        </w:rPr>
      </w:pPr>
      <w:r>
        <w:rPr>
          <w:rFonts w:ascii="Arial" w:cs="Arial" w:eastAsia="Arial" w:hAnsi="Arial"/>
          <w:sz w:val="16"/>
          <w:szCs w:val="16"/>
          <w:color w:val="auto"/>
        </w:rPr>
        <w:t>Expected to be between $775 million and $825 million</w:t>
      </w:r>
    </w:p>
    <w:p>
      <w:pPr>
        <w:spacing w:after="0" w:line="73" w:lineRule="exact"/>
        <w:rPr>
          <w:sz w:val="20"/>
          <w:szCs w:val="20"/>
          <w:color w:val="auto"/>
        </w:rPr>
      </w:pPr>
    </w:p>
    <w:p>
      <w:pPr>
        <w:sectPr>
          <w:pgSz w:w="11900" w:h="16838" w:orient="portrait"/>
          <w:cols w:equalWidth="0" w:num="2">
            <w:col w:w="4140" w:space="720"/>
            <w:col w:w="638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Adjusted EBITDA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Expected to be between $15 million and $30 million</w:t>
      </w:r>
    </w:p>
    <w:p>
      <w:pPr>
        <w:spacing w:after="0" w:line="211" w:lineRule="exact"/>
        <w:rPr>
          <w:sz w:val="20"/>
          <w:szCs w:val="20"/>
          <w:color w:val="auto"/>
        </w:rPr>
      </w:pPr>
    </w:p>
    <w:p>
      <w:pPr>
        <w:sectPr>
          <w:pgSz w:w="11900" w:h="16838" w:orient="portrait"/>
          <w:cols w:equalWidth="0" w:num="2">
            <w:col w:w="4140" w:space="720"/>
            <w:col w:w="6380"/>
          </w:cols>
          <w:pgMar w:left="320" w:top="1440" w:right="33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434343"/>
        </w:rPr>
        <w:t>The Company will hold a webcast and conference call today, May 16, 2023 at 8:30 a.m. Eastern Time. A live webcast of the call will be available via the Investor Relations section of the Company’s website at investor.pagaya.com. To listen to the live webcast, please go to the site at least five minutes prior to the scheduled start time in order to register, download and install any necessary audio software. Shortly before the call, a copy of the accompanying presentation will be made available on the Company’s website. Shortly after the call, a replay of the webcast will be available for 90 days on the Company’s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line="198"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434343"/>
        </w:rPr>
        <w:t>The conference call can also be accessed by dialing 1-877-407-9208 or 1-201-493-6784. The telephone replay can be accessed by dialing 1-844-512-2921 or 1-412-317-6671 and providing the conference ID# 13737470. The telephone replay will be available starting shortly after the call until May 30, 2023. A replay will also be available on the Investor Relations website following the call.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Pagaya Technologies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434343"/>
        </w:rPr>
        <w:t xml:space="preserve">Pagaya (NASDAQ: PGY) is a global technology company making life-changing financial products and services available to more people nationwide. By using machine learning, a vast data network and a sophisticated AI-driven approach, Pagaya provides comprehensive consumer credit and residential real estate solutions for its partners, their customers, and investors. Its proprietary API and capital solutions integrate into its network of partners to deliver seamless user experiences and greater access to the mainstream economy. Pagaya has offices in New York and Tel Aviv. For more information, visit </w:t>
      </w:r>
      <w:r>
        <w:rPr>
          <w:rFonts w:ascii="Arial" w:cs="Arial" w:eastAsia="Arial" w:hAnsi="Arial"/>
          <w:sz w:val="18"/>
          <w:szCs w:val="18"/>
          <w:color w:val="1155CC"/>
        </w:rPr>
        <w:t>pagaya.com</w:t>
      </w:r>
      <w:r>
        <w:rPr>
          <w:rFonts w:ascii="Arial" w:cs="Arial" w:eastAsia="Arial" w:hAnsi="Arial"/>
          <w:sz w:val="18"/>
          <w:szCs w:val="18"/>
          <w:color w:val="434343"/>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About Forward-Looking Statements</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434343"/>
        </w:rPr>
        <w:t>This document contains forward-looking statements within the meaning of Section 27A of the Securities Act of 1933, as amended, and Section 21E of the Securities Exchange Act of 1934, as amended, that involve risks and uncertainties. These forward-looking statements generally are identified by the words “anticipate,” “believe,” “continue,” “can,” “could,” “estimate,” “expect,” “intend,” “may,” “opportunity,” “future,” “strategy,” “might,” “outlook,” “plan,” “possible,” “potential,” “predict,” “project,” “should,” “strive,” “will,” “would,” “will be,” “will continue,” “will likely result,” and similar expressions. All statements other than statements of historical fact are forward-looking statements, including statements regarding: the Company’s strategy and future operations, including the Company’s ability to deliver consistent growth for our partners and asset outperformance for investors, and to remain nimble as market conditions evolve, the Company’s focus on driving sustainable profitability through disciplined growth and operating efficiency, the Company’s ability to consistently raise capital to fund partner originations, and the Company’s commitment to delivering sustainable profitability on an adjusted EBITDA basis and executing on its cost-savings initiatives to drive operating leverage; general economic trends and trends in the Company’s industry and markets; and the Company’s financial outlook for the second quarter and full year of 2023. These forward-looking statements involve known and unknown risks, uncertainties and other important factors that may cause the Company's actual results, performance or achievements to be materially different from any future results, performance or achievements expressed or implied by the forward-looking statements. Risks, uncertainties and assumptions include factors relating to: the Company's ability to attract new partners and to retain and grow its relationships with existing partners to support the underlying investment needs for its securitizations and funds products; the need to maintain a consistently high level of trust in its brand; the concentration of a large percentage of its investment revenue with a small number of partners and platforms; its ability to sustain its revenue growth rate or the growth rate of its related key operating metrics; its ability to improve, operate and implement its technology, its existing funding arrangements for the Company and its affiliates that may not be renewed or replaced or its existing funding sources that may be unwilling or unable to provide funding to it on terms acceptable to it, or at all; the performance of loans facilitated through its model; changes in market interest rates; its securitizations, warehouse credit facility agreements; the impact on its business of general economic conditions, including, but not limited to rising interest rates, inflation, supply chain disruptions, exchange rate fluctuations and labor shortages; the effect of and uncertainties related to the COVID-19 pandemic (including any government responses thereto); its ability to realize the potential benefits of past or future acquisitions; anticipated benefits and savings from our recently announced reduction in workforce; changes in the political, legal and regulatory framework for AI technology, machine learning, financial institutions and consumer protection; the ability to maintain the listing of our securities on Nasdaq; the financial performance of its partners, and fluctuations in the U.S. consumer credit and housing market; its ability to grow effectively through strategic alliances; seasonal fluctuations in our revenue as a result of consumer spending and saving patterns; pending and future litigation, regulatory actions and/or compliance issues including with respect to the merger with EJF Acquisition Corp.; and other risks that are described in and the Company’s Form 20-F filed on April 20, 2023 and subsequent filings with the U.S. Securities and Exchange Commission. These forward-looking statements reflect the Company's views with respect to future events as of the date hereof and are based on assumptions and subject to risks and uncertainties. Given these uncertainties, investors should not place undue reliance on these forward-looking statements. The forward-looking statements are made as of the date hereof, reflect the Company’s current beliefs and are based on information currently available as of the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34343"/>
        </w:rPr>
        <w:t>date they are made, and the Company assumes no obligation and does not intend to update these forward-looking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Non-GAAP Financial Measures</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434343"/>
        </w:rPr>
        <w:t>Some of the unaudited financial information and data contained in this press release and Form 6-K, such as Adjusted EBITDA, have not been prepared in accordance with United States generally accepted accounting principles (“U.S. GAAP”). To supplement the unaudited consolidated financial statements prepared and presented in accordance with U.S. GAAP, management uses the non-GAAP financial measures Adjusted Net Income (Loss) and Adjusted EBITDA to provide investors with additional information about our financial performance and to enhance the overall understanding of the results of operations by highlighting the results from ongoing operations and the underlying profitability of our business. Management believes it provides an additional tool for investors to use in comparing our core financial performance over multiple periods with the performance of other companies. However, non-GAAP financial measures have limitations in their usefulness to investors because they have no standardized meaning prescribed by U.S.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unaudited consolidated financial statements prepared and presented in accordance with U.S. GAAP. To address these limitations, management provides a reconciliation of Adjusted Net Income (Loss) and Adjusted EBITDA to net income (loss) attributable to Pagaya’s shareholders. Management encourages investors and others to review our financial information in its entirety, not to rely on any single financial measure and to view Adjusted Net Income (Loss) and Adjusted EBITDA in conjunction with its respective related GAAP financial measures.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434343"/>
        </w:rPr>
        <w:t>Non-GAAP financial measures include the following items:</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434343"/>
        </w:rPr>
        <w:t>Adjusted Net Income (Loss) is defined as net income (loss) attributable to Pagaya Technologies Ltd.’s shareholders excluding share-based compensation expense, change in fair value of warrant liability, impairment, including credit-related charges, restructuring expenses, and non-recurring expenses associated with mergers and acquisitions.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434343"/>
        </w:rPr>
        <w:t>Adjusted EBITDA is defined as net income (loss) attributable to Pagaya Technologies Ltd.’s shareholders excluding share-based compensation expense, change in fair value of warrant liability, impairment, including credit-related charges, restructuring expenses, non-recurring expenses associated with mergers and acquisitions, interest expense, depreciation expense, and provision for (benefit from) income taxes.</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434343"/>
        </w:rPr>
        <w:t>These items are excluded from our Adjusted Net Income (Loss) and Adjusted EBITDA measures because they are noncash in nature, or because the amount and timing of these items is unpredictable, is not driven by core results of operations and renders comparisons with prior periods and competitors less meaningful.</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434343"/>
        </w:rPr>
        <w:t>We believe Adjusted Net Income (Loss) and Adjusted EBITDA provide useful information to investors and others in understanding and evaluating our results of operations, as well as providing a useful measure for period-to-period comparisons of our business performance. Moreover, we have included Adjusted Net Income (Loss) and Adjusted EBITDA because these are key measurements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 financial information presented in accordance with U.S. GAAP and may be different from similarly titled non-GAAP financial measures used by other companies. The tables below provide reconciliations of Adjusted EBITDA to Net Loss Attributable to Pagaya Technologies Ltd., its most directly comparable U.S. GAAP amount.</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434343"/>
        </w:rPr>
        <w:t>In addition, outlook for the fiscal year, where adjusted, is provided on a non-GAAP basis, which Pagaya will continue to identify as it reports its future financial results. The Company cannot reconcile its expected Adjusted EBITDA to expected Net Loss Attributable to Pagaya under “Second Quarter 2023 Outlook” and “Full-Year 2023 Outlook” without unreasonable effort because certain items that impact net income (loss) and other reconciling items are out of the Company's control and/or cannot be reasonably predicted at this time, which unavailable information could have a significant impact on the Company’s U.S. GAAP financial results.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&amp; 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434343"/>
        </w:rPr>
        <w:t>Jency John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434343"/>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155CC"/>
        </w:rPr>
        <w:t>IR@pagaya.com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&amp; Press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434343"/>
        </w:rPr>
        <w:t>Emily Passer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434343"/>
        </w:rPr>
        <w:t>Head of PR &amp; External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155CC"/>
        </w:rPr>
        <w:t>Press@pagaya.com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ind w:right="447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139"/>
          </w:cols>
          <w:pgMar w:left="320" w:top="1440" w:right="1440"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PAGAYA TECHNOLOGIES LTD.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OPERATIONS (UNAUDITED)</w:t>
      </w:r>
    </w:p>
    <w:p>
      <w:pP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6"/>
                <w:szCs w:val="16"/>
                <w:b w:val="1"/>
                <w:bCs w:val="1"/>
                <w:color w:val="auto"/>
                <w:w w:val="94"/>
              </w:rPr>
              <w:t>Three Months Ended March 31,</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9"/>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360"/>
              <w:spacing w:after="0"/>
              <w:rPr>
                <w:sz w:val="20"/>
                <w:szCs w:val="20"/>
                <w:color w:val="auto"/>
              </w:rPr>
            </w:pPr>
            <w:r>
              <w:rPr>
                <w:rFonts w:ascii="Arial" w:cs="Arial" w:eastAsia="Arial" w:hAnsi="Arial"/>
                <w:sz w:val="16"/>
                <w:szCs w:val="16"/>
                <w:color w:val="auto"/>
              </w:rPr>
              <w:t>Revenue from fees</w:t>
            </w: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175,254</w:t>
            </w:r>
          </w:p>
        </w:tc>
        <w:tc>
          <w:tcPr>
            <w:tcW w:w="3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158,325</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360"/>
              <w:spacing w:after="0"/>
              <w:rPr>
                <w:sz w:val="20"/>
                <w:szCs w:val="20"/>
                <w:color w:val="auto"/>
              </w:rPr>
            </w:pPr>
            <w:r>
              <w:rPr>
                <w:rFonts w:ascii="Arial" w:cs="Arial" w:eastAsia="Arial" w:hAnsi="Arial"/>
                <w:sz w:val="16"/>
                <w:szCs w:val="16"/>
                <w:color w:val="auto"/>
              </w:rPr>
              <w:t>Interest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12,209</w:t>
            </w:r>
          </w:p>
        </w:tc>
        <w:tc>
          <w:tcPr>
            <w:tcW w:w="0" w:type="dxa"/>
            <w:vAlign w:val="bottom"/>
          </w:tcPr>
          <w:p>
            <w:pPr>
              <w:spacing w:after="0"/>
              <w:rPr>
                <w:sz w:val="1"/>
                <w:szCs w:val="1"/>
                <w:color w:val="auto"/>
              </w:rPr>
            </w:pPr>
          </w:p>
        </w:tc>
      </w:tr>
      <w:tr>
        <w:trPr>
          <w:trHeight w:val="219"/>
        </w:trPr>
        <w:tc>
          <w:tcPr>
            <w:tcW w:w="8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Investment income</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680" w:type="dxa"/>
            <w:vAlign w:val="bottom"/>
          </w:tcPr>
          <w:p>
            <w:pPr>
              <w:ind w:left="20"/>
              <w:spacing w:after="0"/>
              <w:rPr>
                <w:sz w:val="20"/>
                <w:szCs w:val="20"/>
                <w:color w:val="auto"/>
              </w:rPr>
            </w:pPr>
            <w:r>
              <w:rPr>
                <w:rFonts w:ascii="Arial" w:cs="Arial" w:eastAsia="Arial" w:hAnsi="Arial"/>
                <w:sz w:val="16"/>
                <w:szCs w:val="16"/>
                <w:b w:val="1"/>
                <w:bCs w:val="1"/>
                <w:color w:val="auto"/>
              </w:rPr>
              <w:t>Total Revenue and Other Income</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186,638</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170,534</w:t>
            </w: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Operating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360"/>
              <w:spacing w:after="0"/>
              <w:rPr>
                <w:sz w:val="20"/>
                <w:szCs w:val="20"/>
                <w:color w:val="auto"/>
              </w:rPr>
            </w:pPr>
            <w:r>
              <w:rPr>
                <w:rFonts w:ascii="Arial" w:cs="Arial" w:eastAsia="Arial" w:hAnsi="Arial"/>
                <w:sz w:val="16"/>
                <w:szCs w:val="16"/>
                <w:color w:val="auto"/>
              </w:rPr>
              <w:t>Production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125,057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92,280</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 (1)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23,626</w:t>
            </w:r>
          </w:p>
        </w:tc>
        <w:tc>
          <w:tcPr>
            <w:tcW w:w="0" w:type="dxa"/>
            <w:vAlign w:val="bottom"/>
          </w:tcPr>
          <w:p>
            <w:pPr>
              <w:spacing w:after="0"/>
              <w:rPr>
                <w:sz w:val="1"/>
                <w:szCs w:val="1"/>
                <w:color w:val="auto"/>
              </w:rPr>
            </w:pPr>
          </w:p>
        </w:tc>
      </w:tr>
      <w:tr>
        <w:trPr>
          <w:trHeight w:val="213"/>
        </w:trPr>
        <w:tc>
          <w:tcPr>
            <w:tcW w:w="8680" w:type="dxa"/>
            <w:vAlign w:val="bottom"/>
          </w:tcPr>
          <w:p>
            <w:pPr>
              <w:ind w:left="360"/>
              <w:spacing w:after="0"/>
              <w:rPr>
                <w:sz w:val="20"/>
                <w:szCs w:val="20"/>
                <w:color w:val="auto"/>
              </w:rPr>
            </w:pPr>
            <w:r>
              <w:rPr>
                <w:rFonts w:ascii="Arial" w:cs="Arial" w:eastAsia="Arial" w:hAnsi="Arial"/>
                <w:sz w:val="16"/>
                <w:szCs w:val="16"/>
                <w:color w:val="auto"/>
              </w:rPr>
              <w:t>Sales and marketing (1)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14,300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13,046</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 (1)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51,126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51,594</w:t>
            </w:r>
          </w:p>
        </w:tc>
        <w:tc>
          <w:tcPr>
            <w:tcW w:w="0" w:type="dxa"/>
            <w:vAlign w:val="bottom"/>
          </w:tcPr>
          <w:p>
            <w:pPr>
              <w:spacing w:after="0"/>
              <w:rPr>
                <w:sz w:val="1"/>
                <w:szCs w:val="1"/>
                <w:color w:val="auto"/>
              </w:rPr>
            </w:pPr>
          </w:p>
        </w:tc>
      </w:tr>
      <w:tr>
        <w:trPr>
          <w:trHeight w:val="207"/>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Costs and Operating Expenses</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211,614</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180,546</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Loss</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(24,976)</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(10,012)</w:t>
            </w:r>
          </w:p>
        </w:tc>
        <w:tc>
          <w:tcPr>
            <w:tcW w:w="0" w:type="dxa"/>
            <w:vAlign w:val="bottom"/>
          </w:tcPr>
          <w:p>
            <w:pPr>
              <w:spacing w:after="0"/>
              <w:rPr>
                <w:sz w:val="1"/>
                <w:szCs w:val="1"/>
                <w:color w:val="auto"/>
              </w:rPr>
            </w:pPr>
          </w:p>
        </w:tc>
      </w:tr>
      <w:tr>
        <w:trPr>
          <w:trHeight w:val="207"/>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(loss), net</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(66,980)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Before Income Taxes</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(91,956)</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(9,699)</w:t>
            </w:r>
          </w:p>
        </w:tc>
        <w:tc>
          <w:tcPr>
            <w:tcW w:w="0" w:type="dxa"/>
            <w:vAlign w:val="bottom"/>
          </w:tcPr>
          <w:p>
            <w:pPr>
              <w:spacing w:after="0"/>
              <w:rPr>
                <w:sz w:val="1"/>
                <w:szCs w:val="1"/>
                <w:color w:val="auto"/>
              </w:rPr>
            </w:pPr>
          </w:p>
        </w:tc>
      </w:tr>
      <w:tr>
        <w:trPr>
          <w:trHeight w:val="206"/>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6,667</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Loss Including Noncontrolling Interests</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(98,623)</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(9,513)</w:t>
            </w:r>
          </w:p>
        </w:tc>
        <w:tc>
          <w:tcPr>
            <w:tcW w:w="0" w:type="dxa"/>
            <w:vAlign w:val="bottom"/>
          </w:tcPr>
          <w:p>
            <w:pPr>
              <w:spacing w:after="0"/>
              <w:rPr>
                <w:sz w:val="1"/>
                <w:szCs w:val="1"/>
                <w:color w:val="auto"/>
              </w:rPr>
            </w:pPr>
          </w:p>
        </w:tc>
      </w:tr>
      <w:tr>
        <w:trPr>
          <w:trHeight w:val="207"/>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(37,652)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8,759</w:t>
            </w:r>
          </w:p>
        </w:tc>
        <w:tc>
          <w:tcPr>
            <w:tcW w:w="0" w:type="dxa"/>
            <w:vAlign w:val="bottom"/>
          </w:tcPr>
          <w:p>
            <w:pPr>
              <w:spacing w:after="0"/>
              <w:rPr>
                <w:sz w:val="1"/>
                <w:szCs w:val="1"/>
                <w:color w:val="auto"/>
              </w:rPr>
            </w:pPr>
          </w:p>
        </w:tc>
      </w:tr>
      <w:tr>
        <w:trPr>
          <w:trHeight w:val="205"/>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Loss Attributable to Pagaya Technologies Ltd.</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(60,971)</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Per share data:</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Pagaya Technologies Ltd.</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(60,971)</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(18,272)</w:t>
            </w:r>
          </w:p>
        </w:tc>
        <w:tc>
          <w:tcPr>
            <w:tcW w:w="0" w:type="dxa"/>
            <w:vAlign w:val="bottom"/>
          </w:tcPr>
          <w:p>
            <w:pPr>
              <w:spacing w:after="0"/>
              <w:rPr>
                <w:sz w:val="1"/>
                <w:szCs w:val="1"/>
                <w:color w:val="auto"/>
              </w:rPr>
            </w:pPr>
          </w:p>
        </w:tc>
      </w:tr>
      <w:tr>
        <w:trPr>
          <w:trHeight w:val="203"/>
        </w:trPr>
        <w:tc>
          <w:tcPr>
            <w:tcW w:w="8680" w:type="dxa"/>
            <w:vAlign w:val="bottom"/>
          </w:tcPr>
          <w:p>
            <w:pPr>
              <w:ind w:left="20"/>
              <w:spacing w:after="0"/>
              <w:rPr>
                <w:sz w:val="20"/>
                <w:szCs w:val="20"/>
                <w:color w:val="auto"/>
              </w:rPr>
            </w:pPr>
            <w:r>
              <w:rPr>
                <w:rFonts w:ascii="Arial" w:cs="Arial" w:eastAsia="Arial" w:hAnsi="Arial"/>
                <w:sz w:val="16"/>
                <w:szCs w:val="16"/>
                <w:color w:val="auto"/>
              </w:rPr>
              <w:t>Less: Undistributed earnings allocated to participated securities</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(5,984)</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attributed to Pagaya Technologies Ltd.</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(60,971)</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Net loss per share attributable to Pagaya Technologies Ltd.:</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 and Diluted (2)</w:t>
            </w: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680" w:type="dxa"/>
            <w:vAlign w:val="bottom"/>
          </w:tcPr>
          <w:p>
            <w:pPr>
              <w:ind w:left="20"/>
              <w:spacing w:after="0"/>
              <w:rPr>
                <w:sz w:val="20"/>
                <w:szCs w:val="20"/>
                <w:color w:val="auto"/>
              </w:rPr>
            </w:pPr>
            <w:r>
              <w:rPr>
                <w:rFonts w:ascii="Arial" w:cs="Arial" w:eastAsia="Arial" w:hAnsi="Arial"/>
                <w:sz w:val="16"/>
                <w:szCs w:val="16"/>
                <w:b w:val="1"/>
                <w:bCs w:val="1"/>
                <w:color w:val="auto"/>
              </w:rPr>
              <w:t>Non-GAAP adjusted net income (loss) (3)</w:t>
            </w: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(11,015)</w:t>
            </w:r>
          </w:p>
        </w:tc>
        <w:tc>
          <w:tcPr>
            <w:tcW w:w="3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4,106</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Non-GAAP adjusted net income (loss) per share:</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6"/>
                <w:szCs w:val="16"/>
                <w:color w:val="auto"/>
              </w:rPr>
              <w:t>Basic (2)</w:t>
            </w: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(0.02)</w:t>
            </w:r>
          </w:p>
        </w:tc>
        <w:tc>
          <w:tcPr>
            <w:tcW w:w="3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 (2)</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Weighted average shares outstanding (Class A and Class B):</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8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 (2)</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711,070,368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204,605,121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680" w:type="dxa"/>
            <w:vAlign w:val="bottom"/>
          </w:tcPr>
          <w:p>
            <w:pPr>
              <w:ind w:left="360"/>
              <w:spacing w:after="0"/>
              <w:rPr>
                <w:sz w:val="20"/>
                <w:szCs w:val="20"/>
                <w:color w:val="auto"/>
              </w:rPr>
            </w:pPr>
            <w:r>
              <w:rPr>
                <w:rFonts w:ascii="Arial" w:cs="Arial" w:eastAsia="Arial" w:hAnsi="Arial"/>
                <w:sz w:val="16"/>
                <w:szCs w:val="16"/>
                <w:color w:val="auto"/>
              </w:rPr>
              <w:t>Diluted (2)</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719,673,675</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455,455,389</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4"/>
                <w:szCs w:val="14"/>
                <w:color w:val="auto"/>
              </w:rPr>
              <w:t>(1) The following table sets forth share-based compensation for the periods indicated below:</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5"/>
        </w:trPr>
        <w:tc>
          <w:tcPr>
            <w:tcW w:w="8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8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6"/>
                <w:szCs w:val="16"/>
                <w:b w:val="1"/>
                <w:bCs w:val="1"/>
                <w:color w:val="auto"/>
                <w:w w:val="94"/>
              </w:rPr>
              <w:t>Three Months Ended March 31,</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5,860</w:t>
            </w:r>
          </w:p>
        </w:tc>
        <w:tc>
          <w:tcPr>
            <w:tcW w:w="0" w:type="dxa"/>
            <w:vAlign w:val="bottom"/>
          </w:tcPr>
          <w:p>
            <w:pPr>
              <w:spacing w:after="0"/>
              <w:rPr>
                <w:sz w:val="1"/>
                <w:szCs w:val="1"/>
                <w:color w:val="auto"/>
              </w:rPr>
            </w:pPr>
          </w:p>
        </w:tc>
      </w:tr>
      <w:tr>
        <w:trPr>
          <w:trHeight w:val="213"/>
        </w:trPr>
        <w:tc>
          <w:tcPr>
            <w:tcW w:w="8680" w:type="dxa"/>
            <w:vAlign w:val="bottom"/>
          </w:tcPr>
          <w:p>
            <w:pPr>
              <w:ind w:left="20"/>
              <w:spacing w:after="0"/>
              <w:rPr>
                <w:sz w:val="20"/>
                <w:szCs w:val="20"/>
                <w:color w:val="auto"/>
              </w:rPr>
            </w:pPr>
            <w:r>
              <w:rPr>
                <w:rFonts w:ascii="Arial" w:cs="Arial" w:eastAsia="Arial" w:hAnsi="Arial"/>
                <w:sz w:val="16"/>
                <w:szCs w:val="16"/>
                <w:color w:val="auto"/>
              </w:rPr>
              <w:t>Selling and marketing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2,891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7,884</w:t>
            </w:r>
          </w:p>
        </w:tc>
        <w:tc>
          <w:tcPr>
            <w:tcW w:w="0" w:type="dxa"/>
            <w:vAlign w:val="bottom"/>
          </w:tcPr>
          <w:p>
            <w:pPr>
              <w:spacing w:after="0"/>
              <w:rPr>
                <w:sz w:val="1"/>
                <w:szCs w:val="1"/>
                <w:color w:val="auto"/>
              </w:rPr>
            </w:pPr>
          </w:p>
        </w:tc>
      </w:tr>
      <w:tr>
        <w:trPr>
          <w:trHeight w:val="213"/>
        </w:trPr>
        <w:tc>
          <w:tcPr>
            <w:tcW w:w="8680" w:type="dxa"/>
            <w:vAlign w:val="bottom"/>
          </w:tcPr>
          <w:p>
            <w:pPr>
              <w:ind w:left="20"/>
              <w:spacing w:after="0"/>
              <w:rPr>
                <w:sz w:val="20"/>
                <w:szCs w:val="20"/>
                <w:color w:val="auto"/>
              </w:rPr>
            </w:pPr>
            <w:r>
              <w:rPr>
                <w:rFonts w:ascii="Arial" w:cs="Arial" w:eastAsia="Arial" w:hAnsi="Arial"/>
                <w:sz w:val="16"/>
                <w:szCs w:val="16"/>
                <w:color w:val="auto"/>
              </w:rPr>
              <w:t>Total</w:t>
            </w: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16,367</w:t>
            </w:r>
          </w:p>
        </w:tc>
        <w:tc>
          <w:tcPr>
            <w:tcW w:w="3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16,635</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Prior period amounts have been retroactively adjusted to reflect the 1:186.9 stock split effected on June 22, 2022.</w:t>
      </w:r>
    </w:p>
    <w:p>
      <w:pPr>
        <w:spacing w:after="0" w:line="215" w:lineRule="exact"/>
        <w:rPr>
          <w:rFonts w:ascii="Arial" w:cs="Arial" w:eastAsia="Arial" w:hAnsi="Arial"/>
          <w:sz w:val="13"/>
          <w:szCs w:val="13"/>
          <w:color w:val="auto"/>
        </w:rPr>
      </w:pPr>
    </w:p>
    <w:p>
      <w:pPr>
        <w:ind w:left="180" w:hanging="172"/>
        <w:spacing w:after="0"/>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See “Reconciliation of Non-GAAP Financial Measures” for a reconciliation of this and adjusted EBITDA, another non-GAAP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408"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PAGAYA TECHNOLOGIES LTD.</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FINANCIAL POSITION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6"/>
              </w:rPr>
              <w:t>March 31, 2023</w:t>
            </w:r>
          </w:p>
        </w:tc>
        <w:tc>
          <w:tcPr>
            <w:tcW w:w="120" w:type="dxa"/>
            <w:vAlign w:val="bottom"/>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December 31, 2022</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(Unaudited)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(Audited)</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289,387</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309,793</w:t>
            </w:r>
          </w:p>
        </w:tc>
        <w:tc>
          <w:tcPr>
            <w:tcW w:w="0" w:type="dxa"/>
            <w:vAlign w:val="bottom"/>
          </w:tcPr>
          <w:p>
            <w:pPr>
              <w:spacing w:after="0"/>
              <w:rPr>
                <w:sz w:val="1"/>
                <w:szCs w:val="1"/>
                <w:color w:val="auto"/>
              </w:rPr>
            </w:pPr>
          </w:p>
        </w:tc>
      </w:tr>
      <w:tr>
        <w:trPr>
          <w:trHeight w:val="213"/>
        </w:trPr>
        <w:tc>
          <w:tcPr>
            <w:tcW w:w="8240" w:type="dxa"/>
            <w:vAlign w:val="bottom"/>
          </w:tcPr>
          <w:p>
            <w:pPr>
              <w:ind w:left="10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22,542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22,539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Fees and other receivables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59,219</w:t>
            </w:r>
          </w:p>
        </w:tc>
        <w:tc>
          <w:tcPr>
            <w:tcW w:w="0" w:type="dxa"/>
            <w:vAlign w:val="bottom"/>
          </w:tcPr>
          <w:p>
            <w:pPr>
              <w:spacing w:after="0"/>
              <w:rPr>
                <w:sz w:val="1"/>
                <w:szCs w:val="1"/>
                <w:color w:val="auto"/>
              </w:rPr>
            </w:pPr>
          </w:p>
        </w:tc>
      </w:tr>
      <w:tr>
        <w:trPr>
          <w:trHeight w:val="213"/>
        </w:trPr>
        <w:tc>
          <w:tcPr>
            <w:tcW w:w="8240" w:type="dxa"/>
            <w:vAlign w:val="bottom"/>
          </w:tcPr>
          <w:p>
            <w:pPr>
              <w:ind w:left="100"/>
              <w:spacing w:after="0"/>
              <w:rPr>
                <w:sz w:val="20"/>
                <w:szCs w:val="20"/>
                <w:color w:val="auto"/>
              </w:rPr>
            </w:pPr>
            <w:r>
              <w:rPr>
                <w:rFonts w:ascii="Arial" w:cs="Arial" w:eastAsia="Arial" w:hAnsi="Arial"/>
                <w:sz w:val="16"/>
                <w:szCs w:val="16"/>
                <w:color w:val="auto"/>
              </w:rPr>
              <w:t>Investments in loans and securities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19"/>
        </w:trPr>
        <w:tc>
          <w:tcPr>
            <w:tcW w:w="8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25,550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27,258</w:t>
            </w:r>
          </w:p>
        </w:tc>
        <w:tc>
          <w:tcPr>
            <w:tcW w:w="0" w:type="dxa"/>
            <w:vAlign w:val="bottom"/>
          </w:tcPr>
          <w:p>
            <w:pPr>
              <w:spacing w:after="0"/>
              <w:rPr>
                <w:sz w:val="1"/>
                <w:szCs w:val="1"/>
                <w:color w:val="auto"/>
              </w:rPr>
            </w:pPr>
          </w:p>
        </w:tc>
      </w:tr>
      <w:tr>
        <w:trPr>
          <w:trHeight w:val="207"/>
        </w:trPr>
        <w:tc>
          <w:tcPr>
            <w:tcW w:w="8240" w:type="dxa"/>
            <w:vAlign w:val="bottom"/>
          </w:tcPr>
          <w:p>
            <w:pPr>
              <w:ind w:left="180"/>
              <w:spacing w:after="0"/>
              <w:rPr>
                <w:sz w:val="20"/>
                <w:szCs w:val="20"/>
                <w:color w:val="auto"/>
              </w:rPr>
            </w:pPr>
            <w:r>
              <w:rPr>
                <w:rFonts w:ascii="Arial" w:cs="Arial" w:eastAsia="Arial" w:hAnsi="Arial"/>
                <w:sz w:val="16"/>
                <w:szCs w:val="16"/>
                <w:b w:val="1"/>
                <w:bCs w:val="1"/>
                <w:color w:val="auto"/>
              </w:rPr>
              <w:t>Total current assets</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399,222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419,816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4,744</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Fees and other receivables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39,869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38,774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loans and securities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503,892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462,969</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Equity method and other investments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26,881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25,894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61,077</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34,126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31,663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7"/>
        </w:trPr>
        <w:tc>
          <w:tcPr>
            <w:tcW w:w="8240" w:type="dxa"/>
            <w:vAlign w:val="bottom"/>
          </w:tcPr>
          <w:p>
            <w:pPr>
              <w:ind w:left="180"/>
              <w:spacing w:after="0"/>
              <w:rPr>
                <w:sz w:val="20"/>
                <w:szCs w:val="20"/>
                <w:color w:val="auto"/>
              </w:rPr>
            </w:pPr>
            <w:r>
              <w:rPr>
                <w:rFonts w:ascii="Arial" w:cs="Arial" w:eastAsia="Arial" w:hAnsi="Arial"/>
                <w:sz w:val="16"/>
                <w:szCs w:val="16"/>
                <w:b w:val="1"/>
                <w:bCs w:val="1"/>
                <w:color w:val="auto"/>
              </w:rPr>
              <w:t>Total non-current assets</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683,138</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625,263</w:t>
            </w:r>
          </w:p>
        </w:tc>
        <w:tc>
          <w:tcPr>
            <w:tcW w:w="0" w:type="dxa"/>
            <w:vAlign w:val="bottom"/>
          </w:tcPr>
          <w:p>
            <w:pPr>
              <w:spacing w:after="0"/>
              <w:rPr>
                <w:sz w:val="1"/>
                <w:szCs w:val="1"/>
                <w:color w:val="auto"/>
              </w:rPr>
            </w:pPr>
          </w:p>
        </w:tc>
      </w:tr>
      <w:tr>
        <w:trPr>
          <w:trHeight w:val="23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1,082,360</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1,045,079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2,738</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1,739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expenses and other liabilities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49,496</w:t>
            </w:r>
          </w:p>
        </w:tc>
        <w:tc>
          <w:tcPr>
            <w:tcW w:w="0" w:type="dxa"/>
            <w:vAlign w:val="bottom"/>
          </w:tcPr>
          <w:p>
            <w:pPr>
              <w:spacing w:after="0"/>
              <w:rPr>
                <w:sz w:val="1"/>
                <w:szCs w:val="1"/>
                <w:color w:val="auto"/>
              </w:rPr>
            </w:pPr>
          </w:p>
        </w:tc>
      </w:tr>
      <w:tr>
        <w:trPr>
          <w:trHeight w:val="213"/>
        </w:trPr>
        <w:tc>
          <w:tcPr>
            <w:tcW w:w="8240" w:type="dxa"/>
            <w:vAlign w:val="bottom"/>
          </w:tcPr>
          <w:p>
            <w:pPr>
              <w:ind w:left="100"/>
              <w:spacing w:after="0"/>
              <w:rPr>
                <w:sz w:val="20"/>
                <w:szCs w:val="20"/>
                <w:color w:val="auto"/>
              </w:rPr>
            </w:pPr>
            <w:r>
              <w:rPr>
                <w:rFonts w:ascii="Arial" w:cs="Arial" w:eastAsia="Arial" w:hAnsi="Arial"/>
                <w:sz w:val="16"/>
                <w:szCs w:val="16"/>
                <w:color w:val="auto"/>
              </w:rPr>
              <w:t>Operating lease liability - current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7,988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8,530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Secured borrowing - current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61,829</w:t>
            </w:r>
          </w:p>
        </w:tc>
        <w:tc>
          <w:tcPr>
            <w:tcW w:w="0" w:type="dxa"/>
            <w:vAlign w:val="bottom"/>
          </w:tcPr>
          <w:p>
            <w:pPr>
              <w:spacing w:after="0"/>
              <w:rPr>
                <w:sz w:val="1"/>
                <w:szCs w:val="1"/>
                <w:color w:val="auto"/>
              </w:rPr>
            </w:pPr>
          </w:p>
        </w:tc>
      </w:tr>
      <w:tr>
        <w:trPr>
          <w:trHeight w:val="216"/>
        </w:trPr>
        <w:tc>
          <w:tcPr>
            <w:tcW w:w="8240" w:type="dxa"/>
            <w:vAlign w:val="bottom"/>
          </w:tcPr>
          <w:p>
            <w:pPr>
              <w:ind w:left="100"/>
              <w:spacing w:after="0"/>
              <w:rPr>
                <w:sz w:val="20"/>
                <w:szCs w:val="20"/>
                <w:color w:val="auto"/>
              </w:rPr>
            </w:pPr>
            <w:r>
              <w:rPr>
                <w:rFonts w:ascii="Arial" w:cs="Arial" w:eastAsia="Arial" w:hAnsi="Arial"/>
                <w:sz w:val="16"/>
                <w:szCs w:val="16"/>
                <w:color w:val="auto"/>
              </w:rPr>
              <w:t>Income taxes payable - current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6,424</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Total current liabilities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95,721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128,018</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Warrant liability</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Revolving credit facility</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Secured borrowing - non-current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77,802</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Operating lease liability - non-current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46,399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49,097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payable - non-current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7,771</w:t>
            </w:r>
          </w:p>
        </w:tc>
        <w:tc>
          <w:tcPr>
            <w:tcW w:w="0" w:type="dxa"/>
            <w:vAlign w:val="bottom"/>
          </w:tcPr>
          <w:p>
            <w:pPr>
              <w:spacing w:after="0"/>
              <w:rPr>
                <w:sz w:val="1"/>
                <w:szCs w:val="1"/>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6"/>
                <w:szCs w:val="16"/>
                <w:color w:val="auto"/>
              </w:rPr>
              <w:t>Deferred tax liabilities, net - non-current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Total non-current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270,199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151,638</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365,920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279,656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 (deficit):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1,004,346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968,432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income (loss)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6"/>
                <w:szCs w:val="16"/>
                <w:color w:val="auto"/>
              </w:rPr>
              <w:t>Accumulated deficit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(475,170)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(414,199)</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Total Pagaya Technologies Ltd. shareholders’ equity</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527,917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553,520</w:t>
            </w:r>
          </w:p>
        </w:tc>
        <w:tc>
          <w:tcPr>
            <w:tcW w:w="0" w:type="dxa"/>
            <w:vAlign w:val="bottom"/>
          </w:tcPr>
          <w:p>
            <w:pPr>
              <w:spacing w:after="0"/>
              <w:rPr>
                <w:sz w:val="1"/>
                <w:szCs w:val="1"/>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211,903</w:t>
            </w:r>
          </w:p>
        </w:tc>
        <w:tc>
          <w:tcPr>
            <w:tcW w:w="0" w:type="dxa"/>
            <w:vAlign w:val="bottom"/>
          </w:tcPr>
          <w:p>
            <w:pPr>
              <w:spacing w:after="0"/>
              <w:rPr>
                <w:sz w:val="1"/>
                <w:szCs w:val="1"/>
                <w:color w:val="auto"/>
              </w:rPr>
            </w:pPr>
          </w:p>
        </w:tc>
      </w:tr>
      <w:tr>
        <w:trPr>
          <w:trHeight w:val="209"/>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Total shareholders’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716,440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765,423</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1,082,360</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1,045,079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408"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PAGAYA TECHNOLOGIES LTD.</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CASH FLOWS (UNAUDITED)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6"/>
              </w:rPr>
              <w:t>Three Months Ended March 31,</w:t>
            </w:r>
          </w:p>
        </w:tc>
      </w:tr>
      <w:tr>
        <w:trPr>
          <w:trHeight w:val="210"/>
        </w:trPr>
        <w:tc>
          <w:tcPr>
            <w:tcW w:w="8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Net loss including noncontrolling interests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(98,623)</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(9,513)</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260" w:type="dxa"/>
            <w:vAlign w:val="bottom"/>
          </w:tcPr>
          <w:p>
            <w:pPr>
              <w:ind w:left="240"/>
              <w:spacing w:after="0"/>
              <w:rPr>
                <w:sz w:val="20"/>
                <w:szCs w:val="20"/>
                <w:color w:val="auto"/>
              </w:rPr>
            </w:pPr>
            <w:r>
              <w:rPr>
                <w:rFonts w:ascii="Arial" w:cs="Arial" w:eastAsia="Arial" w:hAnsi="Arial"/>
                <w:sz w:val="16"/>
                <w:szCs w:val="16"/>
                <w:color w:val="auto"/>
              </w:rPr>
              <w:t>Equity method income (loss)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r>
      <w:tr>
        <w:trPr>
          <w:trHeight w:val="213"/>
        </w:trPr>
        <w:tc>
          <w:tcPr>
            <w:tcW w:w="8260" w:type="dxa"/>
            <w:vAlign w:val="bottom"/>
          </w:tcPr>
          <w:p>
            <w:pPr>
              <w:ind w:left="240"/>
              <w:spacing w:after="0"/>
              <w:rPr>
                <w:sz w:val="20"/>
                <w:szCs w:val="20"/>
                <w:color w:val="auto"/>
              </w:rPr>
            </w:pPr>
            <w:r>
              <w:rPr>
                <w:rFonts w:ascii="Arial" w:cs="Arial" w:eastAsia="Arial" w:hAnsi="Arial"/>
                <w:sz w:val="16"/>
                <w:szCs w:val="16"/>
                <w:color w:val="auto"/>
              </w:rPr>
              <w:t>Share-based compensation</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16,367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16,635</w:t>
            </w:r>
          </w:p>
        </w:tc>
      </w:tr>
      <w:tr>
        <w:trPr>
          <w:trHeight w:val="219"/>
        </w:trPr>
        <w:tc>
          <w:tcPr>
            <w:tcW w:w="8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Fair value adjustment to warrant liability</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r>
      <w:tr>
        <w:trPr>
          <w:trHeight w:val="213"/>
        </w:trPr>
        <w:tc>
          <w:tcPr>
            <w:tcW w:w="8260" w:type="dxa"/>
            <w:vAlign w:val="bottom"/>
          </w:tcPr>
          <w:p>
            <w:pPr>
              <w:ind w:left="240"/>
              <w:spacing w:after="0"/>
              <w:rPr>
                <w:sz w:val="20"/>
                <w:szCs w:val="20"/>
                <w:color w:val="auto"/>
              </w:rPr>
            </w:pPr>
            <w:r>
              <w:rPr>
                <w:rFonts w:ascii="Arial" w:cs="Arial" w:eastAsia="Arial" w:hAnsi="Arial"/>
                <w:sz w:val="16"/>
                <w:szCs w:val="16"/>
                <w:color w:val="auto"/>
              </w:rPr>
              <w:t>Impairment loss on available-for-sale debt securities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68,347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Write-off of capitalized software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60" w:type="dxa"/>
            <w:vAlign w:val="bottom"/>
          </w:tcPr>
          <w:p>
            <w:pPr>
              <w:ind w:left="240"/>
              <w:spacing w:after="0"/>
              <w:rPr>
                <w:sz w:val="20"/>
                <w:szCs w:val="20"/>
                <w:color w:val="auto"/>
              </w:rPr>
            </w:pPr>
            <w:r>
              <w:rPr>
                <w:rFonts w:ascii="Arial" w:cs="Arial" w:eastAsia="Arial" w:hAnsi="Arial"/>
                <w:sz w:val="16"/>
                <w:szCs w:val="16"/>
                <w:color w:val="auto"/>
              </w:rPr>
              <w:t>Change in operating assets and liabilities: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Fees and other receivables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w:t>
            </w:r>
          </w:p>
        </w:tc>
      </w:tr>
      <w:tr>
        <w:trPr>
          <w:trHeight w:val="213"/>
        </w:trPr>
        <w:tc>
          <w:tcPr>
            <w:tcW w:w="8260" w:type="dxa"/>
            <w:vAlign w:val="bottom"/>
          </w:tcPr>
          <w:p>
            <w:pPr>
              <w:ind w:left="460"/>
              <w:spacing w:after="0"/>
              <w:rPr>
                <w:sz w:val="20"/>
                <w:szCs w:val="20"/>
                <w:color w:val="auto"/>
              </w:rPr>
            </w:pPr>
            <w:r>
              <w:rPr>
                <w:rFonts w:ascii="Arial" w:cs="Arial" w:eastAsia="Arial" w:hAnsi="Arial"/>
                <w:sz w:val="16"/>
                <w:szCs w:val="16"/>
                <w:color w:val="auto"/>
              </w:rPr>
              <w:t>Deferred tax assets, net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(3,513)</w:t>
            </w:r>
          </w:p>
        </w:tc>
      </w:tr>
      <w:tr>
        <w:trPr>
          <w:trHeight w:val="219"/>
        </w:trPr>
        <w:tc>
          <w:tcPr>
            <w:tcW w:w="8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tax liabilities, net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60" w:type="dxa"/>
            <w:vAlign w:val="bottom"/>
          </w:tcPr>
          <w:p>
            <w:pPr>
              <w:ind w:left="46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9"/>
        </w:trPr>
        <w:tc>
          <w:tcPr>
            <w:tcW w:w="8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Right-of-use asset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w:t>
            </w:r>
          </w:p>
        </w:tc>
      </w:tr>
      <w:tr>
        <w:trPr>
          <w:trHeight w:val="213"/>
        </w:trPr>
        <w:tc>
          <w:tcPr>
            <w:tcW w:w="826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(6,709)</w:t>
            </w:r>
          </w:p>
        </w:tc>
      </w:tr>
      <w:tr>
        <w:trPr>
          <w:trHeight w:val="219"/>
        </w:trPr>
        <w:tc>
          <w:tcPr>
            <w:tcW w:w="8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Accrued expenses and other liabilities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w:t>
            </w:r>
          </w:p>
        </w:tc>
      </w:tr>
      <w:tr>
        <w:trPr>
          <w:trHeight w:val="213"/>
        </w:trPr>
        <w:tc>
          <w:tcPr>
            <w:tcW w:w="8260" w:type="dxa"/>
            <w:vAlign w:val="bottom"/>
          </w:tcPr>
          <w:p>
            <w:pPr>
              <w:ind w:left="460"/>
              <w:spacing w:after="0"/>
              <w:rPr>
                <w:sz w:val="20"/>
                <w:szCs w:val="20"/>
                <w:color w:val="auto"/>
              </w:rPr>
            </w:pPr>
            <w:r>
              <w:rPr>
                <w:rFonts w:ascii="Arial" w:cs="Arial" w:eastAsia="Arial" w:hAnsi="Arial"/>
                <w:sz w:val="16"/>
                <w:szCs w:val="16"/>
                <w:color w:val="auto"/>
              </w:rPr>
              <w:t>Operating lease liability</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(2,473)</w:t>
            </w:r>
          </w:p>
        </w:tc>
      </w:tr>
      <w:tr>
        <w:trPr>
          <w:trHeight w:val="219"/>
        </w:trPr>
        <w:tc>
          <w:tcPr>
            <w:tcW w:w="8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Income tax payable</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2,479</w:t>
            </w:r>
          </w:p>
        </w:tc>
      </w:tr>
      <w:tr>
        <w:trPr>
          <w:trHeight w:val="20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operating activities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(23,673)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(2,823)</w:t>
            </w:r>
          </w:p>
        </w:tc>
      </w:tr>
      <w:tr>
        <w:trPr>
          <w:trHeight w:val="19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Proceeds from the sale/maturity/prepayment of:</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Investments in loans and securities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27,313</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Short-term deposits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5,020</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method and other investments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Cash and restricted cash acquired from Darwin Homes, Inc.</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the purchase of:</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Investments in loans and securities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(121,732)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(73,991)</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and equipment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Equity method and other investments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(99,665)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(43,918)</w:t>
            </w:r>
          </w:p>
        </w:tc>
      </w:tr>
      <w:tr>
        <w:trPr>
          <w:trHeight w:val="19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secured borrowing</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53,337</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Proceeds received from noncontrolling interests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10,128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8,547</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revolving credit facility</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Distributions made to noncontrolling interests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(29,658)</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Distributions made to revolving credit facility</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Distributions made to secured borrowing</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w:t>
            </w:r>
          </w:p>
        </w:tc>
      </w:tr>
      <w:tr>
        <w:trPr>
          <w:trHeight w:val="216"/>
        </w:trPr>
        <w:tc>
          <w:tcPr>
            <w:tcW w:w="8260" w:type="dxa"/>
            <w:vAlign w:val="bottom"/>
          </w:tcPr>
          <w:p>
            <w:pPr>
              <w:ind w:left="140"/>
              <w:spacing w:after="0"/>
              <w:rPr>
                <w:sz w:val="20"/>
                <w:szCs w:val="20"/>
                <w:color w:val="auto"/>
              </w:rPr>
            </w:pPr>
            <w:r>
              <w:rPr>
                <w:rFonts w:ascii="Arial" w:cs="Arial" w:eastAsia="Arial" w:hAnsi="Arial"/>
                <w:sz w:val="16"/>
                <w:szCs w:val="16"/>
                <w:color w:val="auto"/>
              </w:rPr>
              <w:t>Payments for deferred offering costs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(1,532)</w:t>
            </w:r>
          </w:p>
        </w:tc>
      </w:tr>
      <w:tr>
        <w:trPr>
          <w:trHeight w:val="21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103,024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29,042</w:t>
            </w:r>
          </w:p>
        </w:tc>
      </w:tr>
      <w:tr>
        <w:trPr>
          <w:trHeight w:val="206"/>
        </w:trPr>
        <w:tc>
          <w:tcPr>
            <w:tcW w:w="8260" w:type="dxa"/>
            <w:vAlign w:val="bottom"/>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(20,314)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(17,699)</w:t>
            </w:r>
          </w:p>
        </w:tc>
      </w:tr>
      <w:tr>
        <w:trPr>
          <w:trHeight w:val="21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337,076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204,575</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316,762</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186,876</w:t>
            </w:r>
          </w:p>
        </w:tc>
      </w:tr>
      <w:tr>
        <w:trPr>
          <w:trHeight w:val="21"/>
        </w:trPr>
        <w:tc>
          <w:tcPr>
            <w:tcW w:w="8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-6129020</wp:posOffset>
            </wp:positionV>
            <wp:extent cx="52374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374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020"/>
          </w:cols>
          <w:pgMar w:left="320" w:top="1408" w:right="55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PAGAYA TECHNOLOGIES LTD.</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NON-GAAP FINANCIAL MEASURES (UNAUDITED)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210"/>
        </w:trPr>
        <w:tc>
          <w:tcPr>
            <w:tcW w:w="8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r>
      <w:tr>
        <w:trPr>
          <w:trHeight w:val="212"/>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Loss Attributable to Pagaya Technologies Ltd.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(60,971)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(18,272)</w:t>
            </w:r>
          </w:p>
        </w:tc>
      </w:tr>
      <w:tr>
        <w:trPr>
          <w:trHeight w:val="213"/>
        </w:trPr>
        <w:tc>
          <w:tcPr>
            <w:tcW w:w="870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Share-based compensation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16,635</w:t>
            </w:r>
          </w:p>
        </w:tc>
      </w:tr>
      <w:tr>
        <w:trPr>
          <w:trHeight w:val="213"/>
        </w:trPr>
        <w:tc>
          <w:tcPr>
            <w:tcW w:w="8700" w:type="dxa"/>
            <w:vAlign w:val="bottom"/>
          </w:tcPr>
          <w:p>
            <w:pPr>
              <w:ind w:left="100"/>
              <w:spacing w:after="0"/>
              <w:rPr>
                <w:sz w:val="20"/>
                <w:szCs w:val="20"/>
                <w:color w:val="auto"/>
              </w:rPr>
            </w:pPr>
            <w:r>
              <w:rPr>
                <w:rFonts w:ascii="Arial" w:cs="Arial" w:eastAsia="Arial" w:hAnsi="Arial"/>
                <w:sz w:val="16"/>
                <w:szCs w:val="16"/>
                <w:color w:val="auto"/>
              </w:rPr>
              <w:t>Fair value adjustment to warrant liability</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469</w:t>
            </w:r>
          </w:p>
        </w:tc>
      </w:tr>
      <w:tr>
        <w:trPr>
          <w:trHeight w:val="219"/>
        </w:trPr>
        <w:tc>
          <w:tcPr>
            <w:tcW w:w="8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Impairment loss on certain investments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700" w:type="dxa"/>
            <w:vAlign w:val="bottom"/>
          </w:tcPr>
          <w:p>
            <w:pPr>
              <w:ind w:left="100"/>
              <w:spacing w:after="0"/>
              <w:rPr>
                <w:sz w:val="20"/>
                <w:szCs w:val="20"/>
                <w:color w:val="auto"/>
              </w:rPr>
            </w:pPr>
            <w:r>
              <w:rPr>
                <w:rFonts w:ascii="Arial" w:cs="Arial" w:eastAsia="Arial" w:hAnsi="Arial"/>
                <w:sz w:val="16"/>
                <w:szCs w:val="16"/>
                <w:color w:val="auto"/>
              </w:rPr>
              <w:t>Write-off of capitalized software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Restructuring expenses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700" w:type="dxa"/>
            <w:vAlign w:val="bottom"/>
          </w:tcPr>
          <w:p>
            <w:pPr>
              <w:ind w:left="100"/>
              <w:spacing w:after="0"/>
              <w:rPr>
                <w:sz w:val="20"/>
                <w:szCs w:val="20"/>
                <w:color w:val="auto"/>
              </w:rPr>
            </w:pPr>
            <w:r>
              <w:rPr>
                <w:rFonts w:ascii="Arial" w:cs="Arial" w:eastAsia="Arial" w:hAnsi="Arial"/>
                <w:sz w:val="16"/>
                <w:szCs w:val="16"/>
                <w:color w:val="auto"/>
              </w:rPr>
              <w:t>Non-recurring expenses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5,274</w:t>
            </w:r>
          </w:p>
        </w:tc>
      </w:tr>
      <w:tr>
        <w:trPr>
          <w:trHeight w:val="209"/>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 (Loss)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4,106</w:t>
            </w:r>
          </w:p>
        </w:tc>
      </w:tr>
      <w:tr>
        <w:trPr>
          <w:trHeight w:val="213"/>
        </w:trPr>
        <w:tc>
          <w:tcPr>
            <w:tcW w:w="870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expenses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700" w:type="dxa"/>
            <w:vAlign w:val="bottom"/>
          </w:tcPr>
          <w:p>
            <w:pPr>
              <w:ind w:left="100"/>
              <w:spacing w:after="0"/>
              <w:rPr>
                <w:sz w:val="20"/>
                <w:szCs w:val="20"/>
                <w:color w:val="auto"/>
              </w:rPr>
            </w:pPr>
            <w:r>
              <w:rPr>
                <w:rFonts w:ascii="Arial" w:cs="Arial" w:eastAsia="Arial" w:hAnsi="Arial"/>
                <w:sz w:val="16"/>
                <w:szCs w:val="16"/>
                <w:color w:val="auto"/>
              </w:rPr>
              <w:t>Provision for (benefit from) income tax</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19"/>
        </w:trPr>
        <w:tc>
          <w:tcPr>
            <w:tcW w:w="8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w:t>
            </w:r>
          </w:p>
        </w:tc>
      </w:tr>
      <w:tr>
        <w:trPr>
          <w:trHeight w:val="209"/>
        </w:trPr>
        <w:tc>
          <w:tcPr>
            <w:tcW w:w="870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2,048</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4,397</w:t>
            </w:r>
          </w:p>
        </w:tc>
      </w:tr>
      <w:tr>
        <w:trPr>
          <w:trHeight w:val="21"/>
        </w:trPr>
        <w:tc>
          <w:tcPr>
            <w:tcW w:w="8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408"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PAGAYA TECHNOLOGIES LTD.</w:t>
      </w:r>
    </w:p>
    <w:p>
      <w:pPr>
        <w:spacing w:after="0" w:line="10" w:lineRule="exact"/>
        <w:rPr>
          <w:sz w:val="20"/>
          <w:szCs w:val="20"/>
          <w:color w:val="auto"/>
        </w:rPr>
      </w:pPr>
    </w:p>
    <w:p>
      <w:pPr>
        <w:ind w:right="4940"/>
        <w:spacing w:after="0" w:line="237" w:lineRule="auto"/>
        <w:rPr>
          <w:sz w:val="20"/>
          <w:szCs w:val="20"/>
          <w:color w:val="auto"/>
        </w:rPr>
      </w:pPr>
      <w:r>
        <w:rPr>
          <w:rFonts w:ascii="Arial" w:cs="Arial" w:eastAsia="Arial" w:hAnsi="Arial"/>
          <w:sz w:val="16"/>
          <w:szCs w:val="16"/>
          <w:b w:val="1"/>
          <w:bCs w:val="1"/>
          <w:color w:val="auto"/>
        </w:rPr>
        <w:t>CONDENSED CONSOLIDATED INTERIM STATEMENTS OF FINANCIAL POSITION AS OF MARCH 31, 2023 AND DECEMBER 31, 2022</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March 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5"/>
              </w:rPr>
              <w:t>2023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119"/>
              <w:spacing w:after="0"/>
              <w:rPr>
                <w:sz w:val="20"/>
                <w:szCs w:val="20"/>
                <w:color w:val="auto"/>
              </w:rPr>
            </w:pPr>
            <w:r>
              <w:rPr>
                <w:rFonts w:ascii="Arial" w:cs="Arial" w:eastAsia="Arial" w:hAnsi="Arial"/>
                <w:sz w:val="16"/>
                <w:szCs w:val="16"/>
                <w:b w:val="1"/>
                <w:bCs w:val="1"/>
                <w:color w:val="auto"/>
                <w:w w:val="92"/>
              </w:rPr>
              <w:t>(Unaudited)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right="79"/>
              <w:spacing w:after="0"/>
              <w:rPr>
                <w:sz w:val="20"/>
                <w:szCs w:val="20"/>
                <w:color w:val="auto"/>
              </w:rPr>
            </w:pPr>
            <w:r>
              <w:rPr>
                <w:rFonts w:ascii="Arial" w:cs="Arial" w:eastAsia="Arial" w:hAnsi="Arial"/>
                <w:sz w:val="16"/>
                <w:szCs w:val="16"/>
                <w:b w:val="1"/>
                <w:bCs w:val="1"/>
                <w:color w:val="auto"/>
                <w:w w:val="93"/>
              </w:rPr>
              <w:t>(Audited)</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289,387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309,793</w:t>
            </w:r>
          </w:p>
        </w:tc>
        <w:tc>
          <w:tcPr>
            <w:tcW w:w="0" w:type="dxa"/>
            <w:vAlign w:val="bottom"/>
          </w:tcPr>
          <w:p>
            <w:pPr>
              <w:spacing w:after="0"/>
              <w:rPr>
                <w:sz w:val="1"/>
                <w:szCs w:val="1"/>
                <w:color w:val="auto"/>
              </w:rPr>
            </w:pPr>
          </w:p>
        </w:tc>
      </w:tr>
      <w:tr>
        <w:trPr>
          <w:trHeight w:val="213"/>
        </w:trPr>
        <w:tc>
          <w:tcPr>
            <w:tcW w:w="8260" w:type="dxa"/>
            <w:vAlign w:val="bottom"/>
          </w:tcPr>
          <w:p>
            <w:pPr>
              <w:ind w:left="24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22,542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22,539</w:t>
            </w:r>
          </w:p>
        </w:tc>
        <w:tc>
          <w:tcPr>
            <w:tcW w:w="0" w:type="dxa"/>
            <w:vAlign w:val="bottom"/>
          </w:tcPr>
          <w:p>
            <w:pPr>
              <w:spacing w:after="0"/>
              <w:rPr>
                <w:sz w:val="1"/>
                <w:szCs w:val="1"/>
                <w:color w:val="auto"/>
              </w:rPr>
            </w:pPr>
          </w:p>
        </w:tc>
      </w:tr>
      <w:tr>
        <w:trPr>
          <w:trHeight w:val="169"/>
        </w:trPr>
        <w:tc>
          <w:tcPr>
            <w:tcW w:w="826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rPr>
              <w:t>Fees and other receivables (including related party receivables of $49,295 and $49,427 of March 31, 2023 and</w:t>
            </w:r>
          </w:p>
        </w:tc>
        <w:tc>
          <w:tcPr>
            <w:tcW w:w="2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58,469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59,219</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December 31, 2022, respectively)</w:t>
            </w:r>
          </w:p>
        </w:tc>
        <w:tc>
          <w:tcPr>
            <w:tcW w:w="2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40"/>
              <w:spacing w:after="0"/>
              <w:rPr>
                <w:sz w:val="20"/>
                <w:szCs w:val="20"/>
                <w:color w:val="auto"/>
              </w:rPr>
            </w:pPr>
            <w:r>
              <w:rPr>
                <w:rFonts w:ascii="Arial" w:cs="Arial" w:eastAsia="Arial" w:hAnsi="Arial"/>
                <w:sz w:val="16"/>
                <w:szCs w:val="16"/>
                <w:color w:val="auto"/>
              </w:rPr>
              <w:t>Investments in loans and securities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169"/>
        </w:trPr>
        <w:tc>
          <w:tcPr>
            <w:tcW w:w="826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0"/>
              </w:rPr>
              <w:t>Prepaid expenses and other current assets (including related party assets of $16,369 and $18,783 as of March 31, 2023 and</w:t>
            </w:r>
          </w:p>
        </w:tc>
        <w:tc>
          <w:tcPr>
            <w:tcW w:w="2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25,550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27,258</w:t>
            </w:r>
          </w:p>
        </w:tc>
        <w:tc>
          <w:tcPr>
            <w:tcW w:w="0" w:type="dxa"/>
            <w:vAlign w:val="bottom"/>
          </w:tcPr>
          <w:p>
            <w:pPr>
              <w:spacing w:after="0"/>
              <w:rPr>
                <w:sz w:val="1"/>
                <w:szCs w:val="1"/>
                <w:color w:val="auto"/>
              </w:rPr>
            </w:pPr>
          </w:p>
        </w:tc>
      </w:tr>
      <w:tr>
        <w:trPr>
          <w:trHeight w:val="125"/>
        </w:trPr>
        <w:tc>
          <w:tcPr>
            <w:tcW w:w="8260" w:type="dxa"/>
            <w:vAlign w:val="bottom"/>
            <w:vMerge w:val="restart"/>
            <w:shd w:val="clear" w:color="auto" w:fill="CCEEFF"/>
          </w:tcPr>
          <w:p>
            <w:pPr>
              <w:ind w:left="240"/>
              <w:spacing w:after="0"/>
              <w:rPr>
                <w:sz w:val="20"/>
                <w:szCs w:val="20"/>
                <w:color w:val="auto"/>
              </w:rPr>
            </w:pPr>
            <w:r>
              <w:rPr>
                <w:rFonts w:ascii="Arial" w:cs="Arial" w:eastAsia="Arial" w:hAnsi="Arial"/>
                <w:sz w:val="16"/>
                <w:szCs w:val="16"/>
                <w:color w:val="auto"/>
              </w:rPr>
              <w:t>December 31, 2022, respectively)</w:t>
            </w:r>
          </w:p>
        </w:tc>
        <w:tc>
          <w:tcPr>
            <w:tcW w:w="220" w:type="dxa"/>
            <w:vAlign w:val="bottom"/>
            <w:shd w:val="clear" w:color="auto" w:fill="CCEEFF"/>
          </w:tcPr>
          <w:p>
            <w:pPr>
              <w:spacing w:after="0"/>
              <w:rPr>
                <w:sz w:val="10"/>
                <w:szCs w:val="10"/>
                <w:color w:val="auto"/>
              </w:rPr>
            </w:pPr>
          </w:p>
        </w:tc>
        <w:tc>
          <w:tcPr>
            <w:tcW w:w="12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8260" w:type="dxa"/>
            <w:vAlign w:val="bottom"/>
            <w:tcBorders>
              <w:bottom w:val="single" w:sz="8" w:color="CCEEFF"/>
            </w:tcBorders>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8260" w:type="dxa"/>
            <w:vAlign w:val="bottom"/>
          </w:tcPr>
          <w:p>
            <w:pPr>
              <w:ind w:left="46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399,222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419,816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Restricted cash</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4,744</w:t>
            </w:r>
          </w:p>
        </w:tc>
        <w:tc>
          <w:tcPr>
            <w:tcW w:w="0" w:type="dxa"/>
            <w:vAlign w:val="bottom"/>
          </w:tcPr>
          <w:p>
            <w:pPr>
              <w:spacing w:after="0"/>
              <w:rPr>
                <w:sz w:val="1"/>
                <w:szCs w:val="1"/>
                <w:color w:val="auto"/>
              </w:rPr>
            </w:pPr>
          </w:p>
        </w:tc>
      </w:tr>
      <w:tr>
        <w:trPr>
          <w:trHeight w:val="166"/>
        </w:trPr>
        <w:tc>
          <w:tcPr>
            <w:tcW w:w="8260" w:type="dxa"/>
            <w:vAlign w:val="bottom"/>
          </w:tcPr>
          <w:p>
            <w:pPr>
              <w:ind w:left="240"/>
              <w:spacing w:after="0" w:line="166" w:lineRule="exact"/>
              <w:rPr>
                <w:sz w:val="20"/>
                <w:szCs w:val="20"/>
                <w:color w:val="auto"/>
              </w:rPr>
            </w:pPr>
            <w:r>
              <w:rPr>
                <w:rFonts w:ascii="Arial" w:cs="Arial" w:eastAsia="Arial" w:hAnsi="Arial"/>
                <w:sz w:val="16"/>
                <w:szCs w:val="16"/>
                <w:color w:val="auto"/>
                <w:w w:val="99"/>
              </w:rPr>
              <w:t>Fees and other receivables (including related party receivables of $39,169 and $38,332 as of March 31, 2023 and</w:t>
            </w:r>
          </w:p>
        </w:tc>
        <w:tc>
          <w:tcPr>
            <w:tcW w:w="2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39,869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38,774</w:t>
            </w:r>
          </w:p>
        </w:tc>
        <w:tc>
          <w:tcPr>
            <w:tcW w:w="0" w:type="dxa"/>
            <w:vAlign w:val="bottom"/>
          </w:tcPr>
          <w:p>
            <w:pPr>
              <w:spacing w:after="0"/>
              <w:rPr>
                <w:sz w:val="1"/>
                <w:szCs w:val="1"/>
                <w:color w:val="auto"/>
              </w:rPr>
            </w:pPr>
          </w:p>
        </w:tc>
      </w:tr>
      <w:tr>
        <w:trPr>
          <w:trHeight w:val="209"/>
        </w:trPr>
        <w:tc>
          <w:tcPr>
            <w:tcW w:w="8260" w:type="dxa"/>
            <w:vAlign w:val="bottom"/>
          </w:tcPr>
          <w:p>
            <w:pPr>
              <w:ind w:left="240"/>
              <w:spacing w:after="0"/>
              <w:rPr>
                <w:sz w:val="20"/>
                <w:szCs w:val="20"/>
                <w:color w:val="auto"/>
              </w:rPr>
            </w:pPr>
            <w:r>
              <w:rPr>
                <w:rFonts w:ascii="Arial" w:cs="Arial" w:eastAsia="Arial" w:hAnsi="Arial"/>
                <w:sz w:val="16"/>
                <w:szCs w:val="16"/>
                <w:color w:val="auto"/>
              </w:rPr>
              <w:t>December 31, 2022, respectively)</w:t>
            </w:r>
          </w:p>
        </w:tc>
        <w:tc>
          <w:tcPr>
            <w:tcW w:w="2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Investments in loans and securities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503,892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462,969</w:t>
            </w:r>
          </w:p>
        </w:tc>
        <w:tc>
          <w:tcPr>
            <w:tcW w:w="0" w:type="dxa"/>
            <w:vAlign w:val="bottom"/>
          </w:tcPr>
          <w:p>
            <w:pPr>
              <w:spacing w:after="0"/>
              <w:rPr>
                <w:sz w:val="1"/>
                <w:szCs w:val="1"/>
                <w:color w:val="auto"/>
              </w:rPr>
            </w:pPr>
          </w:p>
        </w:tc>
      </w:tr>
      <w:tr>
        <w:trPr>
          <w:trHeight w:val="213"/>
        </w:trPr>
        <w:tc>
          <w:tcPr>
            <w:tcW w:w="8260" w:type="dxa"/>
            <w:vAlign w:val="bottom"/>
          </w:tcPr>
          <w:p>
            <w:pPr>
              <w:ind w:left="240"/>
              <w:spacing w:after="0"/>
              <w:rPr>
                <w:sz w:val="20"/>
                <w:szCs w:val="20"/>
                <w:color w:val="auto"/>
              </w:rPr>
            </w:pPr>
            <w:r>
              <w:rPr>
                <w:rFonts w:ascii="Arial" w:cs="Arial" w:eastAsia="Arial" w:hAnsi="Arial"/>
                <w:sz w:val="16"/>
                <w:szCs w:val="16"/>
                <w:color w:val="auto"/>
              </w:rPr>
              <w:t>Equity method and other investments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26,881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25,894</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Right-of-use asset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61,077</w:t>
            </w:r>
          </w:p>
        </w:tc>
        <w:tc>
          <w:tcPr>
            <w:tcW w:w="0" w:type="dxa"/>
            <w:vAlign w:val="bottom"/>
          </w:tcPr>
          <w:p>
            <w:pPr>
              <w:spacing w:after="0"/>
              <w:rPr>
                <w:sz w:val="1"/>
                <w:szCs w:val="1"/>
                <w:color w:val="auto"/>
              </w:rPr>
            </w:pPr>
          </w:p>
        </w:tc>
      </w:tr>
      <w:tr>
        <w:trPr>
          <w:trHeight w:val="213"/>
        </w:trPr>
        <w:tc>
          <w:tcPr>
            <w:tcW w:w="8260" w:type="dxa"/>
            <w:vAlign w:val="bottom"/>
          </w:tcPr>
          <w:p>
            <w:pPr>
              <w:ind w:left="24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34,126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31,663</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60" w:type="dxa"/>
            <w:vAlign w:val="bottom"/>
          </w:tcPr>
          <w:p>
            <w:pPr>
              <w:ind w:left="240"/>
              <w:spacing w:after="0"/>
              <w:rPr>
                <w:sz w:val="20"/>
                <w:szCs w:val="20"/>
                <w:color w:val="auto"/>
              </w:rPr>
            </w:pPr>
            <w:r>
              <w:rPr>
                <w:rFonts w:ascii="Arial" w:cs="Arial" w:eastAsia="Arial" w:hAnsi="Arial"/>
                <w:sz w:val="16"/>
                <w:szCs w:val="16"/>
                <w:color w:val="auto"/>
              </w:rPr>
              <w:t>Intangible assets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7"/>
        </w:trPr>
        <w:tc>
          <w:tcPr>
            <w:tcW w:w="8260" w:type="dxa"/>
            <w:vAlign w:val="bottom"/>
          </w:tcPr>
          <w:p>
            <w:pPr>
              <w:ind w:left="460"/>
              <w:spacing w:after="0"/>
              <w:rPr>
                <w:sz w:val="20"/>
                <w:szCs w:val="20"/>
                <w:color w:val="auto"/>
              </w:rPr>
            </w:pPr>
            <w:r>
              <w:rPr>
                <w:rFonts w:ascii="Arial" w:cs="Arial" w:eastAsia="Arial" w:hAnsi="Arial"/>
                <w:sz w:val="16"/>
                <w:szCs w:val="16"/>
                <w:b w:val="1"/>
                <w:bCs w:val="1"/>
                <w:color w:val="auto"/>
              </w:rPr>
              <w:t>Total non-current assets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683,138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625,263</w:t>
            </w:r>
          </w:p>
        </w:tc>
        <w:tc>
          <w:tcPr>
            <w:tcW w:w="0" w:type="dxa"/>
            <w:vAlign w:val="bottom"/>
          </w:tcPr>
          <w:p>
            <w:pPr>
              <w:spacing w:after="0"/>
              <w:rPr>
                <w:sz w:val="1"/>
                <w:szCs w:val="1"/>
                <w:color w:val="auto"/>
              </w:rPr>
            </w:pPr>
          </w:p>
        </w:tc>
      </w:tr>
      <w:tr>
        <w:trPr>
          <w:trHeight w:val="23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1,082,360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1,045,079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2,738</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1,739</w:t>
            </w:r>
          </w:p>
        </w:tc>
        <w:tc>
          <w:tcPr>
            <w:tcW w:w="0" w:type="dxa"/>
            <w:vAlign w:val="bottom"/>
          </w:tcPr>
          <w:p>
            <w:pPr>
              <w:spacing w:after="0"/>
              <w:rPr>
                <w:sz w:val="1"/>
                <w:szCs w:val="1"/>
                <w:color w:val="auto"/>
              </w:rPr>
            </w:pPr>
          </w:p>
        </w:tc>
      </w:tr>
      <w:tr>
        <w:trPr>
          <w:trHeight w:val="169"/>
        </w:trPr>
        <w:tc>
          <w:tcPr>
            <w:tcW w:w="826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8"/>
              </w:rPr>
              <w:t>Accrued expenses and other liabilities (including related party liabilities of $692 and $636 as of March 31, 2023 and</w:t>
            </w:r>
          </w:p>
        </w:tc>
        <w:tc>
          <w:tcPr>
            <w:tcW w:w="2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27,513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49,496</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December 31, 2022, respectively)</w:t>
            </w:r>
          </w:p>
        </w:tc>
        <w:tc>
          <w:tcPr>
            <w:tcW w:w="2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40"/>
              <w:spacing w:after="0"/>
              <w:rPr>
                <w:sz w:val="20"/>
                <w:szCs w:val="20"/>
                <w:color w:val="auto"/>
              </w:rPr>
            </w:pPr>
            <w:r>
              <w:rPr>
                <w:rFonts w:ascii="Arial" w:cs="Arial" w:eastAsia="Arial" w:hAnsi="Arial"/>
                <w:sz w:val="16"/>
                <w:szCs w:val="16"/>
                <w:color w:val="auto"/>
              </w:rPr>
              <w:t>Operating lease liability - current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7,988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8,530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Secured borrowing - current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61,829</w:t>
            </w:r>
          </w:p>
        </w:tc>
        <w:tc>
          <w:tcPr>
            <w:tcW w:w="0" w:type="dxa"/>
            <w:vAlign w:val="bottom"/>
          </w:tcPr>
          <w:p>
            <w:pPr>
              <w:spacing w:after="0"/>
              <w:rPr>
                <w:sz w:val="1"/>
                <w:szCs w:val="1"/>
                <w:color w:val="auto"/>
              </w:rPr>
            </w:pPr>
          </w:p>
        </w:tc>
      </w:tr>
      <w:tr>
        <w:trPr>
          <w:trHeight w:val="216"/>
        </w:trPr>
        <w:tc>
          <w:tcPr>
            <w:tcW w:w="8260" w:type="dxa"/>
            <w:vAlign w:val="bottom"/>
          </w:tcPr>
          <w:p>
            <w:pPr>
              <w:ind w:left="240"/>
              <w:spacing w:after="0"/>
              <w:rPr>
                <w:sz w:val="20"/>
                <w:szCs w:val="20"/>
                <w:color w:val="auto"/>
              </w:rPr>
            </w:pPr>
            <w:r>
              <w:rPr>
                <w:rFonts w:ascii="Arial" w:cs="Arial" w:eastAsia="Arial" w:hAnsi="Arial"/>
                <w:sz w:val="16"/>
                <w:szCs w:val="16"/>
                <w:color w:val="auto"/>
              </w:rPr>
              <w:t>Income taxes payable - current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6,424</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128,018</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Warrant liability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13"/>
        </w:trPr>
        <w:tc>
          <w:tcPr>
            <w:tcW w:w="8260" w:type="dxa"/>
            <w:vAlign w:val="bottom"/>
          </w:tcPr>
          <w:p>
            <w:pPr>
              <w:ind w:left="240"/>
              <w:spacing w:after="0"/>
              <w:rPr>
                <w:sz w:val="20"/>
                <w:szCs w:val="20"/>
                <w:color w:val="auto"/>
              </w:rPr>
            </w:pPr>
            <w:r>
              <w:rPr>
                <w:rFonts w:ascii="Arial" w:cs="Arial" w:eastAsia="Arial" w:hAnsi="Arial"/>
                <w:sz w:val="16"/>
                <w:szCs w:val="16"/>
                <w:color w:val="auto"/>
              </w:rPr>
              <w:t>Revolving credit facility</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Secured borrowing - non-current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77,802</w:t>
            </w:r>
          </w:p>
        </w:tc>
        <w:tc>
          <w:tcPr>
            <w:tcW w:w="0" w:type="dxa"/>
            <w:vAlign w:val="bottom"/>
          </w:tcPr>
          <w:p>
            <w:pPr>
              <w:spacing w:after="0"/>
              <w:rPr>
                <w:sz w:val="1"/>
                <w:szCs w:val="1"/>
                <w:color w:val="auto"/>
              </w:rPr>
            </w:pPr>
          </w:p>
        </w:tc>
      </w:tr>
      <w:tr>
        <w:trPr>
          <w:trHeight w:val="213"/>
        </w:trPr>
        <w:tc>
          <w:tcPr>
            <w:tcW w:w="8260" w:type="dxa"/>
            <w:vAlign w:val="bottom"/>
          </w:tcPr>
          <w:p>
            <w:pPr>
              <w:ind w:left="240"/>
              <w:spacing w:after="0"/>
              <w:rPr>
                <w:sz w:val="20"/>
                <w:szCs w:val="20"/>
                <w:color w:val="auto"/>
              </w:rPr>
            </w:pPr>
            <w:r>
              <w:rPr>
                <w:rFonts w:ascii="Arial" w:cs="Arial" w:eastAsia="Arial" w:hAnsi="Arial"/>
                <w:sz w:val="16"/>
                <w:szCs w:val="16"/>
                <w:color w:val="auto"/>
              </w:rPr>
              <w:t>Operating lease liability - non-current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46,399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49,097</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taxes payable - non-current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7,771</w:t>
            </w:r>
          </w:p>
        </w:tc>
        <w:tc>
          <w:tcPr>
            <w:tcW w:w="0" w:type="dxa"/>
            <w:vAlign w:val="bottom"/>
          </w:tcPr>
          <w:p>
            <w:pPr>
              <w:spacing w:after="0"/>
              <w:rPr>
                <w:sz w:val="1"/>
                <w:szCs w:val="1"/>
                <w:color w:val="auto"/>
              </w:rPr>
            </w:pPr>
          </w:p>
        </w:tc>
      </w:tr>
      <w:tr>
        <w:trPr>
          <w:trHeight w:val="216"/>
        </w:trPr>
        <w:tc>
          <w:tcPr>
            <w:tcW w:w="8260" w:type="dxa"/>
            <w:vAlign w:val="bottom"/>
          </w:tcPr>
          <w:p>
            <w:pPr>
              <w:ind w:left="240"/>
              <w:spacing w:after="0"/>
              <w:rPr>
                <w:sz w:val="20"/>
                <w:szCs w:val="20"/>
                <w:color w:val="auto"/>
              </w:rPr>
            </w:pPr>
            <w:r>
              <w:rPr>
                <w:rFonts w:ascii="Arial" w:cs="Arial" w:eastAsia="Arial" w:hAnsi="Arial"/>
                <w:sz w:val="16"/>
                <w:szCs w:val="16"/>
                <w:color w:val="auto"/>
              </w:rPr>
              <w:t>Deferred tax liabilities, net - non-current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207"/>
        </w:trPr>
        <w:tc>
          <w:tcPr>
            <w:tcW w:w="8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Total non-current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270,199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151,638</w:t>
            </w:r>
          </w:p>
        </w:tc>
        <w:tc>
          <w:tcPr>
            <w:tcW w:w="0" w:type="dxa"/>
            <w:vAlign w:val="bottom"/>
          </w:tcPr>
          <w:p>
            <w:pPr>
              <w:spacing w:after="0"/>
              <w:rPr>
                <w:sz w:val="1"/>
                <w:szCs w:val="1"/>
                <w:color w:val="auto"/>
              </w:rPr>
            </w:pPr>
          </w:p>
        </w:tc>
      </w:tr>
      <w:tr>
        <w:trPr>
          <w:trHeight w:val="210"/>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365,920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279,656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 (deficit):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1,004,346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968,432</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income (loss)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216"/>
        </w:trPr>
        <w:tc>
          <w:tcPr>
            <w:tcW w:w="8260" w:type="dxa"/>
            <w:vAlign w:val="bottom"/>
          </w:tcPr>
          <w:p>
            <w:pPr>
              <w:ind w:left="24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(475,170)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(414,199)</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Pagaya Technologies Ltd. shareholders’ equity</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527,917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553,520</w:t>
            </w:r>
          </w:p>
        </w:tc>
        <w:tc>
          <w:tcPr>
            <w:tcW w:w="0" w:type="dxa"/>
            <w:vAlign w:val="bottom"/>
          </w:tcPr>
          <w:p>
            <w:pPr>
              <w:spacing w:after="0"/>
              <w:rPr>
                <w:sz w:val="1"/>
                <w:szCs w:val="1"/>
                <w:color w:val="auto"/>
              </w:rPr>
            </w:pPr>
          </w:p>
        </w:tc>
      </w:tr>
      <w:tr>
        <w:trPr>
          <w:trHeight w:val="216"/>
        </w:trPr>
        <w:tc>
          <w:tcPr>
            <w:tcW w:w="8260" w:type="dxa"/>
            <w:vAlign w:val="bottom"/>
          </w:tcPr>
          <w:p>
            <w:pPr>
              <w:ind w:left="24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211,903</w:t>
            </w:r>
          </w:p>
        </w:tc>
        <w:tc>
          <w:tcPr>
            <w:tcW w:w="0" w:type="dxa"/>
            <w:vAlign w:val="bottom"/>
          </w:tcPr>
          <w:p>
            <w:pPr>
              <w:spacing w:after="0"/>
              <w:rPr>
                <w:sz w:val="1"/>
                <w:szCs w:val="1"/>
                <w:color w:val="auto"/>
              </w:rPr>
            </w:pPr>
          </w:p>
        </w:tc>
      </w:tr>
      <w:tr>
        <w:trPr>
          <w:trHeight w:val="206"/>
        </w:trPr>
        <w:tc>
          <w:tcPr>
            <w:tcW w:w="8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shareholders’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716,440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765,423</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1,082,360</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1,045,079</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08"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PAGAYA TECHNOLOGIES LTD.</w:t>
      </w:r>
    </w:p>
    <w:p>
      <w:pPr>
        <w:spacing w:after="0" w:line="23" w:lineRule="exact"/>
        <w:rPr>
          <w:sz w:val="20"/>
          <w:szCs w:val="20"/>
          <w:color w:val="auto"/>
        </w:rPr>
      </w:pPr>
    </w:p>
    <w:p>
      <w:pPr>
        <w:ind w:right="4600"/>
        <w:spacing w:after="0" w:line="237" w:lineRule="auto"/>
        <w:rPr>
          <w:sz w:val="20"/>
          <w:szCs w:val="20"/>
          <w:color w:val="auto"/>
        </w:rPr>
      </w:pPr>
      <w:r>
        <w:rPr>
          <w:rFonts w:ascii="Arial" w:cs="Arial" w:eastAsia="Arial" w:hAnsi="Arial"/>
          <w:sz w:val="16"/>
          <w:szCs w:val="16"/>
          <w:b w:val="1"/>
          <w:bCs w:val="1"/>
          <w:color w:val="auto"/>
        </w:rPr>
        <w:t>UNAUDITED CONDENSED CONSOLIDATED INTERIM STATEMENTS OF OPERATIONS FOR THREE MONTHS ENDED MARCH 31, 2023 AND 2022</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84"/>
              <w:spacing w:after="0"/>
              <w:rPr>
                <w:sz w:val="20"/>
                <w:szCs w:val="20"/>
                <w:color w:val="auto"/>
              </w:rPr>
            </w:pPr>
            <w:r>
              <w:rPr>
                <w:rFonts w:ascii="Arial" w:cs="Arial" w:eastAsia="Arial" w:hAnsi="Arial"/>
                <w:sz w:val="16"/>
                <w:szCs w:val="16"/>
                <w:b w:val="1"/>
                <w:bCs w:val="1"/>
                <w:color w:val="auto"/>
                <w:w w:val="94"/>
              </w:rPr>
              <w:t>Three Months Ended March 31,</w:t>
            </w: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84"/>
              <w:spacing w:after="0"/>
              <w:rPr>
                <w:sz w:val="20"/>
                <w:szCs w:val="20"/>
                <w:color w:val="auto"/>
              </w:rPr>
            </w:pPr>
            <w:r>
              <w:rPr>
                <w:rFonts w:ascii="Arial" w:cs="Arial" w:eastAsia="Arial" w:hAnsi="Arial"/>
                <w:sz w:val="13"/>
                <w:szCs w:val="13"/>
                <w:b w:val="1"/>
                <w:bCs w:val="1"/>
                <w:color w:val="auto"/>
                <w:w w:val="95"/>
              </w:rPr>
              <w:t>(Unreviewed)</w:t>
            </w:r>
          </w:p>
        </w:tc>
        <w:tc>
          <w:tcPr>
            <w:tcW w:w="0" w:type="dxa"/>
            <w:vAlign w:val="bottom"/>
          </w:tcPr>
          <w:p>
            <w:pPr>
              <w:spacing w:after="0"/>
              <w:rPr>
                <w:sz w:val="1"/>
                <w:szCs w:val="1"/>
                <w:color w:val="auto"/>
              </w:rPr>
            </w:pPr>
          </w:p>
        </w:tc>
      </w:tr>
      <w:tr>
        <w:trPr>
          <w:trHeight w:val="166"/>
        </w:trPr>
        <w:tc>
          <w:tcPr>
            <w:tcW w:w="8680" w:type="dxa"/>
            <w:vAlign w:val="bottom"/>
          </w:tcPr>
          <w:p>
            <w:pPr>
              <w:ind w:left="360"/>
              <w:spacing w:after="0" w:line="166" w:lineRule="exact"/>
              <w:rPr>
                <w:sz w:val="20"/>
                <w:szCs w:val="20"/>
                <w:color w:val="auto"/>
              </w:rPr>
            </w:pPr>
            <w:r>
              <w:rPr>
                <w:rFonts w:ascii="Arial" w:cs="Arial" w:eastAsia="Arial" w:hAnsi="Arial"/>
                <w:sz w:val="16"/>
                <w:szCs w:val="16"/>
                <w:color w:val="auto"/>
                <w:w w:val="91"/>
              </w:rPr>
              <w:t>Revenue from fees (including related party revenues of $153,793 and $158,324 for the three months ended March 31, 2023 and</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175,254</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158,325</w:t>
            </w:r>
          </w:p>
        </w:tc>
        <w:tc>
          <w:tcPr>
            <w:tcW w:w="0" w:type="dxa"/>
            <w:vAlign w:val="bottom"/>
          </w:tcPr>
          <w:p>
            <w:pPr>
              <w:spacing w:after="0"/>
              <w:rPr>
                <w:sz w:val="1"/>
                <w:szCs w:val="1"/>
                <w:color w:val="auto"/>
              </w:rPr>
            </w:pPr>
          </w:p>
        </w:tc>
      </w:tr>
      <w:tr>
        <w:trPr>
          <w:trHeight w:val="206"/>
        </w:trPr>
        <w:tc>
          <w:tcPr>
            <w:tcW w:w="8680" w:type="dxa"/>
            <w:vAlign w:val="bottom"/>
          </w:tcPr>
          <w:p>
            <w:pPr>
              <w:ind w:left="360"/>
              <w:spacing w:after="0"/>
              <w:rPr>
                <w:sz w:val="20"/>
                <w:szCs w:val="20"/>
                <w:color w:val="auto"/>
              </w:rPr>
            </w:pPr>
            <w:r>
              <w:rPr>
                <w:rFonts w:ascii="Arial" w:cs="Arial" w:eastAsia="Arial" w:hAnsi="Arial"/>
                <w:sz w:val="16"/>
                <w:szCs w:val="16"/>
                <w:color w:val="auto"/>
              </w:rPr>
              <w:t>2022, respectively)</w:t>
            </w:r>
          </w:p>
        </w:tc>
        <w:tc>
          <w:tcPr>
            <w:tcW w:w="14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p>
      <w:pPr>
        <w:spacing w:after="0" w:line="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Investment income (loss) (1)</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Revenue and Other Income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Costs and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Production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Research and development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General and administrative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Costs and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Operating Income (Loss)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income (loss),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Income (Loss) Before Income Taxes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Loss Including Noncontrolling Interests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Net income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Loss Attributable to Pagaya Technologies Ltd.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Per share data:</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10,397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12,209</w:t>
            </w:r>
          </w:p>
        </w:tc>
      </w:tr>
      <w:tr>
        <w:trPr>
          <w:trHeight w:val="219"/>
        </w:trPr>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186,638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170,534</w:t>
            </w:r>
          </w:p>
        </w:tc>
      </w:tr>
      <w:tr>
        <w:trPr>
          <w:trHeight w:val="409"/>
        </w:trPr>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125,057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92,280</w:t>
            </w:r>
          </w:p>
        </w:tc>
      </w:tr>
      <w:tr>
        <w:trPr>
          <w:trHeight w:val="216"/>
        </w:trPr>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21,131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23,626</w:t>
            </w:r>
          </w:p>
        </w:tc>
      </w:tr>
      <w:tr>
        <w:trPr>
          <w:trHeight w:val="216"/>
        </w:trPr>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14,300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13,046</w:t>
            </w:r>
          </w:p>
        </w:tc>
      </w:tr>
      <w:tr>
        <w:trPr>
          <w:trHeight w:val="219"/>
        </w:trPr>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51,126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51,594</w:t>
            </w:r>
          </w:p>
        </w:tc>
      </w:tr>
      <w:tr>
        <w:trPr>
          <w:trHeight w:val="210"/>
        </w:trPr>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211,614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180,546</w:t>
            </w:r>
          </w:p>
        </w:tc>
      </w:tr>
      <w:tr>
        <w:trPr>
          <w:trHeight w:val="209"/>
        </w:trPr>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(24,976)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(10,012)</w:t>
            </w:r>
          </w:p>
        </w:tc>
      </w:tr>
      <w:tr>
        <w:trPr>
          <w:trHeight w:val="209"/>
        </w:trPr>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(66,980)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r>
      <w:tr>
        <w:trPr>
          <w:trHeight w:val="209"/>
        </w:trPr>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(91,956)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(9,699)</w:t>
            </w:r>
          </w:p>
        </w:tc>
      </w:tr>
      <w:tr>
        <w:trPr>
          <w:trHeight w:val="209"/>
        </w:trPr>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6,667</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r>
      <w:tr>
        <w:trPr>
          <w:trHeight w:val="210"/>
        </w:trPr>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(98,623)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(9,513)</w:t>
            </w:r>
          </w:p>
        </w:tc>
      </w:tr>
      <w:tr>
        <w:trPr>
          <w:trHeight w:val="209"/>
        </w:trPr>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(37,652)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8,759</w:t>
            </w:r>
          </w:p>
        </w:tc>
      </w:tr>
      <w:tr>
        <w:trPr>
          <w:trHeight w:val="210"/>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(60,971)</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(18,272)</w:t>
            </w:r>
          </w:p>
        </w:tc>
      </w:tr>
      <w:tr>
        <w:trPr>
          <w:trHeight w:val="23"/>
        </w:trPr>
        <w:tc>
          <w:tcPr>
            <w:tcW w:w="38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r>
    </w:tbl>
    <w:p>
      <w:pPr>
        <w:spacing w:after="0" w:line="202" w:lineRule="exact"/>
        <w:rPr>
          <w:sz w:val="20"/>
          <w:szCs w:val="20"/>
          <w:color w:val="auto"/>
        </w:rPr>
      </w:pPr>
    </w:p>
    <w:p>
      <w:pPr>
        <w:sectPr>
          <w:pgSz w:w="11900" w:h="16838" w:orient="portrait"/>
          <w:cols w:equalWidth="0" w:num="2">
            <w:col w:w="7960" w:space="720"/>
            <w:col w:w="2560"/>
          </w:cols>
          <w:pgMar w:left="320" w:top="1408"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Pagaya Technologies Ltd.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(60,971)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(18,272)</w:t>
            </w: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Undistributed earnings allocated to participated securities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(5,984)</w:t>
            </w:r>
          </w:p>
        </w:tc>
        <w:tc>
          <w:tcPr>
            <w:tcW w:w="0" w:type="dxa"/>
            <w:vAlign w:val="bottom"/>
          </w:tcPr>
          <w:p>
            <w:pPr>
              <w:spacing w:after="0"/>
              <w:rPr>
                <w:sz w:val="1"/>
                <w:szCs w:val="1"/>
                <w:color w:val="auto"/>
              </w:rPr>
            </w:pPr>
          </w:p>
        </w:tc>
      </w:tr>
      <w:tr>
        <w:trPr>
          <w:trHeight w:val="233"/>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attributed to Pagaya Technologies Ltd.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(60,971)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Net loss per share attributable to Pagaya Technologies Ltd.: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6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 and Diluted (2)</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6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8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 and Diluted (2)</w:t>
            </w: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711,070,368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204,605,121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income from proprietary investments.</w:t>
      </w:r>
    </w:p>
    <w:p>
      <w:pPr>
        <w:spacing w:after="0" w:line="19" w:lineRule="exact"/>
        <w:rPr>
          <w:rFonts w:ascii="Arial" w:cs="Arial" w:eastAsia="Arial" w:hAnsi="Arial"/>
          <w:sz w:val="16"/>
          <w:szCs w:val="16"/>
          <w:color w:val="auto"/>
        </w:rPr>
      </w:pPr>
    </w:p>
    <w:p>
      <w:pPr>
        <w:ind w:left="240" w:hanging="232"/>
        <w:spacing w:after="0"/>
        <w:tabs>
          <w:tab w:leader="none" w:pos="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Prior period amounts have been retroactively adjusted to reflect the 1:186.9 stock split effected on June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08"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PAGAYA TECHNOLOGIES LTD.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INTERIM STATEMENTS OF COMPREHENSIVE INCOME (LOSS)</w:t>
      </w:r>
    </w:p>
    <w:p>
      <w:pPr>
        <w:spacing w:after="0"/>
        <w:rPr>
          <w:sz w:val="20"/>
          <w:szCs w:val="20"/>
          <w:color w:val="auto"/>
        </w:rPr>
      </w:pPr>
      <w:r>
        <w:rPr>
          <w:rFonts w:ascii="Arial" w:cs="Arial" w:eastAsia="Arial" w:hAnsi="Arial"/>
          <w:sz w:val="16"/>
          <w:szCs w:val="16"/>
          <w:b w:val="1"/>
          <w:bCs w:val="1"/>
          <w:color w:val="auto"/>
        </w:rPr>
        <w:t>FOR THREE MONTHS ENDED MARCH 31, 2023 AND 2022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81"/>
              <w:spacing w:after="0"/>
              <w:rPr>
                <w:sz w:val="20"/>
                <w:szCs w:val="20"/>
                <w:color w:val="auto"/>
              </w:rPr>
            </w:pPr>
            <w:r>
              <w:rPr>
                <w:rFonts w:ascii="Arial" w:cs="Arial" w:eastAsia="Arial" w:hAnsi="Arial"/>
                <w:sz w:val="16"/>
                <w:szCs w:val="16"/>
                <w:b w:val="1"/>
                <w:bCs w:val="1"/>
                <w:color w:val="auto"/>
                <w:w w:val="94"/>
              </w:rPr>
              <w:t>Three Months Ended March 31,</w:t>
            </w:r>
          </w:p>
        </w:tc>
      </w:tr>
      <w:tr>
        <w:trPr>
          <w:trHeight w:val="210"/>
        </w:trPr>
        <w:tc>
          <w:tcPr>
            <w:tcW w:w="8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2022</w:t>
            </w:r>
          </w:p>
        </w:tc>
      </w:tr>
      <w:tr>
        <w:trPr>
          <w:trHeight w:val="178"/>
        </w:trPr>
        <w:tc>
          <w:tcPr>
            <w:tcW w:w="8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141"/>
              <w:spacing w:after="0"/>
              <w:rPr>
                <w:sz w:val="20"/>
                <w:szCs w:val="20"/>
                <w:color w:val="auto"/>
              </w:rPr>
            </w:pPr>
            <w:r>
              <w:rPr>
                <w:rFonts w:ascii="Arial" w:cs="Arial" w:eastAsia="Arial" w:hAnsi="Arial"/>
                <w:sz w:val="13"/>
                <w:szCs w:val="13"/>
                <w:b w:val="1"/>
                <w:bCs w:val="1"/>
                <w:color w:val="auto"/>
              </w:rPr>
              <w:t>(Unreviewed)</w:t>
            </w:r>
          </w:p>
        </w:tc>
      </w:tr>
      <w:tr>
        <w:trPr>
          <w:trHeight w:val="223"/>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Including Noncontrolling Interests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3"/>
              </w:rPr>
              <w:t>(98,623)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(9,513)</w:t>
            </w:r>
          </w:p>
        </w:tc>
      </w:tr>
      <w:tr>
        <w:trPr>
          <w:trHeight w:val="213"/>
        </w:trPr>
        <w:tc>
          <w:tcPr>
            <w:tcW w:w="86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8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Unrealized gain (loss) on securities available for sale, net</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419"/>
              <w:spacing w:after="0"/>
              <w:rPr>
                <w:sz w:val="20"/>
                <w:szCs w:val="20"/>
                <w:color w:val="auto"/>
              </w:rPr>
            </w:pPr>
            <w:r>
              <w:rPr>
                <w:rFonts w:ascii="Arial" w:cs="Arial" w:eastAsia="Arial" w:hAnsi="Arial"/>
                <w:sz w:val="16"/>
                <w:szCs w:val="16"/>
                <w:color w:val="auto"/>
                <w:w w:val="89"/>
              </w:rPr>
              <w:t>15,792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7"/>
        </w:trPr>
        <w:tc>
          <w:tcPr>
            <w:tcW w:w="868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 Including Noncontrolling Interests</w:t>
            </w:r>
          </w:p>
        </w:tc>
        <w:tc>
          <w:tcPr>
            <w:tcW w:w="140" w:type="dxa"/>
            <w:vAlign w:val="bottom"/>
          </w:tcPr>
          <w:p>
            <w:pPr>
              <w:spacing w:after="0"/>
              <w:rPr>
                <w:sz w:val="17"/>
                <w:szCs w:val="17"/>
                <w:color w:val="auto"/>
              </w:rPr>
            </w:pPr>
          </w:p>
        </w:tc>
        <w:tc>
          <w:tcPr>
            <w:tcW w:w="1100" w:type="dxa"/>
            <w:vAlign w:val="bottom"/>
          </w:tcPr>
          <w:p>
            <w:pPr>
              <w:jc w:val="center"/>
              <w:ind w:left="379"/>
              <w:spacing w:after="0"/>
              <w:rPr>
                <w:sz w:val="20"/>
                <w:szCs w:val="20"/>
                <w:color w:val="auto"/>
              </w:rPr>
            </w:pPr>
            <w:r>
              <w:rPr>
                <w:rFonts w:ascii="Arial" w:cs="Arial" w:eastAsia="Arial" w:hAnsi="Arial"/>
                <w:sz w:val="16"/>
                <w:szCs w:val="16"/>
                <w:color w:val="auto"/>
                <w:w w:val="93"/>
              </w:rPr>
              <w:t>(82,831)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(9,513)</w:t>
            </w:r>
          </w:p>
        </w:tc>
      </w:tr>
      <w:tr>
        <w:trPr>
          <w:trHeight w:val="219"/>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79"/>
              <w:spacing w:after="0"/>
              <w:rPr>
                <w:sz w:val="20"/>
                <w:szCs w:val="20"/>
                <w:color w:val="auto"/>
              </w:rPr>
            </w:pPr>
            <w:r>
              <w:rPr>
                <w:rFonts w:ascii="Arial" w:cs="Arial" w:eastAsia="Arial" w:hAnsi="Arial"/>
                <w:sz w:val="16"/>
                <w:szCs w:val="16"/>
                <w:color w:val="auto"/>
                <w:w w:val="93"/>
              </w:rPr>
              <w:t>(21,314)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9"/>
        </w:trPr>
        <w:tc>
          <w:tcPr>
            <w:tcW w:w="868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 Attributable to Pagaya Technologies Ltd.</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left="379"/>
              <w:spacing w:after="0"/>
              <w:rPr>
                <w:sz w:val="20"/>
                <w:szCs w:val="20"/>
                <w:color w:val="auto"/>
              </w:rPr>
            </w:pPr>
            <w:r>
              <w:rPr>
                <w:rFonts w:ascii="Arial" w:cs="Arial" w:eastAsia="Arial" w:hAnsi="Arial"/>
                <w:sz w:val="16"/>
                <w:szCs w:val="16"/>
                <w:color w:val="auto"/>
                <w:w w:val="93"/>
              </w:rPr>
              <w:t>(61,517)</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(9,513)</w:t>
            </w:r>
          </w:p>
        </w:tc>
      </w:tr>
      <w:tr>
        <w:trPr>
          <w:trHeight w:val="21"/>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08"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PAGAYA TECHNOLOGIES LTD.</w:t>
      </w:r>
    </w:p>
    <w:p>
      <w:pPr>
        <w:spacing w:after="0" w:line="10" w:lineRule="exact"/>
        <w:rPr>
          <w:sz w:val="20"/>
          <w:szCs w:val="20"/>
          <w:color w:val="auto"/>
        </w:rPr>
      </w:pPr>
    </w:p>
    <w:p>
      <w:pPr>
        <w:ind w:right="1700"/>
        <w:spacing w:after="0" w:line="237" w:lineRule="auto"/>
        <w:rPr>
          <w:sz w:val="20"/>
          <w:szCs w:val="20"/>
          <w:color w:val="auto"/>
        </w:rPr>
      </w:pPr>
      <w:r>
        <w:rPr>
          <w:rFonts w:ascii="Arial" w:cs="Arial" w:eastAsia="Arial" w:hAnsi="Arial"/>
          <w:sz w:val="16"/>
          <w:szCs w:val="16"/>
          <w:b w:val="1"/>
          <w:bCs w:val="1"/>
          <w:color w:val="auto"/>
        </w:rPr>
        <w:t>UNAUDITED CONDENSED CONSOLIDATED INTERIM STATEMENTS OF CHANGES IN SHAREHOLDERS’ EQUITY (DEFICIT) FOR THREE MONTHS ENDED MARCH 31, 2023 AND 2022</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 except share amounts)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ind w:right="34"/>
              <w:spacing w:after="0"/>
              <w:rPr>
                <w:sz w:val="20"/>
                <w:szCs w:val="20"/>
                <w:color w:val="auto"/>
              </w:rPr>
            </w:pPr>
            <w:r>
              <w:rPr>
                <w:rFonts w:ascii="Arial" w:cs="Arial" w:eastAsia="Arial" w:hAnsi="Arial"/>
                <w:sz w:val="13"/>
                <w:szCs w:val="13"/>
                <w:b w:val="1"/>
                <w:bCs w:val="1"/>
                <w:color w:val="auto"/>
                <w:w w:val="93"/>
              </w:rPr>
              <w:t>Accumulated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center"/>
              <w:ind w:right="73"/>
              <w:spacing w:after="0"/>
              <w:rPr>
                <w:sz w:val="20"/>
                <w:szCs w:val="20"/>
                <w:color w:val="auto"/>
              </w:rPr>
            </w:pPr>
            <w:r>
              <w:rPr>
                <w:rFonts w:ascii="Arial" w:cs="Arial" w:eastAsia="Arial" w:hAnsi="Arial"/>
                <w:sz w:val="13"/>
                <w:szCs w:val="13"/>
                <w:b w:val="1"/>
                <w:bCs w:val="1"/>
                <w:color w:val="auto"/>
                <w:w w:val="94"/>
              </w:rPr>
              <w:t>Retained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34"/>
              <w:spacing w:after="0"/>
              <w:rPr>
                <w:sz w:val="20"/>
                <w:szCs w:val="20"/>
                <w:color w:val="auto"/>
              </w:rPr>
            </w:pPr>
            <w:r>
              <w:rPr>
                <w:rFonts w:ascii="Arial" w:cs="Arial" w:eastAsia="Arial" w:hAnsi="Arial"/>
                <w:sz w:val="13"/>
                <w:szCs w:val="13"/>
                <w:b w:val="1"/>
                <w:bCs w:val="1"/>
                <w:color w:val="auto"/>
                <w:w w:val="92"/>
              </w:rPr>
              <w:t>Total Pagaya</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620" w:type="dxa"/>
            <w:vAlign w:val="bottom"/>
            <w:gridSpan w:val="4"/>
            <w:vMerge w:val="restart"/>
          </w:tcPr>
          <w:p>
            <w:pPr>
              <w:jc w:val="right"/>
              <w:ind w:right="33"/>
              <w:spacing w:after="0"/>
              <w:rPr>
                <w:sz w:val="20"/>
                <w:szCs w:val="20"/>
                <w:color w:val="auto"/>
              </w:rPr>
            </w:pPr>
            <w:r>
              <w:rPr>
                <w:rFonts w:ascii="Arial" w:cs="Arial" w:eastAsia="Arial" w:hAnsi="Arial"/>
                <w:sz w:val="13"/>
                <w:szCs w:val="13"/>
                <w:b w:val="1"/>
                <w:bCs w:val="1"/>
                <w:color w:val="auto"/>
                <w:w w:val="98"/>
              </w:rPr>
              <w:t>Redeemable Convertible</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88"/>
              </w:rPr>
              <w:t>Technologies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98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2"/>
            <w:vMerge w:val="restart"/>
          </w:tcPr>
          <w:p>
            <w:pPr>
              <w:jc w:val="right"/>
              <w:spacing w:after="0" w:line="135" w:lineRule="exact"/>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vMerge w:val="restart"/>
          </w:tcPr>
          <w:p>
            <w:pPr>
              <w:jc w:val="center"/>
              <w:ind w:right="34"/>
              <w:spacing w:after="0" w:line="135" w:lineRule="exact"/>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vMerge w:val="restart"/>
          </w:tcPr>
          <w:p>
            <w:pPr>
              <w:jc w:val="center"/>
              <w:ind w:right="73"/>
              <w:spacing w:after="0" w:line="135" w:lineRule="exact"/>
              <w:rPr>
                <w:sz w:val="20"/>
                <w:szCs w:val="20"/>
                <w:color w:val="auto"/>
              </w:rPr>
            </w:pPr>
            <w:r>
              <w:rPr>
                <w:rFonts w:ascii="Arial" w:cs="Arial" w:eastAsia="Arial" w:hAnsi="Arial"/>
                <w:sz w:val="13"/>
                <w:szCs w:val="13"/>
                <w:b w:val="1"/>
                <w:bCs w:val="1"/>
                <w:color w:val="auto"/>
                <w:w w:val="93"/>
              </w:rPr>
              <w:t>Earnings</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vMerge w:val="restart"/>
          </w:tcPr>
          <w:p>
            <w:pPr>
              <w:jc w:val="center"/>
              <w:ind w:right="14"/>
              <w:spacing w:after="0" w:line="135" w:lineRule="exact"/>
              <w:rPr>
                <w:sz w:val="20"/>
                <w:szCs w:val="20"/>
                <w:color w:val="auto"/>
              </w:rPr>
            </w:pPr>
            <w:r>
              <w:rPr>
                <w:rFonts w:ascii="Arial" w:cs="Arial" w:eastAsia="Arial" w:hAnsi="Arial"/>
                <w:sz w:val="13"/>
                <w:szCs w:val="13"/>
                <w:b w:val="1"/>
                <w:bCs w:val="1"/>
                <w:color w:val="auto"/>
              </w:rPr>
              <w:t>Ltd.</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vMerge w:val="restart"/>
          </w:tcPr>
          <w:p>
            <w:pPr>
              <w:jc w:val="center"/>
              <w:ind w:right="53"/>
              <w:spacing w:after="0" w:line="135" w:lineRule="exact"/>
              <w:rPr>
                <w:sz w:val="20"/>
                <w:szCs w:val="20"/>
                <w:color w:val="auto"/>
              </w:rPr>
            </w:pPr>
            <w:r>
              <w:rPr>
                <w:rFonts w:ascii="Arial" w:cs="Arial" w:eastAsia="Arial" w:hAnsi="Arial"/>
                <w:sz w:val="13"/>
                <w:szCs w:val="13"/>
                <w:b w:val="1"/>
                <w:bCs w:val="1"/>
                <w:color w:val="auto"/>
                <w:w w:val="94"/>
              </w:rPr>
              <w:t>Non-</w:t>
            </w: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vMerge w:val="restart"/>
          </w:tcPr>
          <w:p>
            <w:pPr>
              <w:jc w:val="center"/>
              <w:ind w:right="133"/>
              <w:spacing w:after="0" w:line="135"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81"/>
        </w:trPr>
        <w:tc>
          <w:tcPr>
            <w:tcW w:w="1980" w:type="dxa"/>
            <w:vAlign w:val="bottom"/>
          </w:tcPr>
          <w:p>
            <w:pPr>
              <w:spacing w:after="0"/>
              <w:rPr>
                <w:sz w:val="7"/>
                <w:szCs w:val="7"/>
                <w:color w:val="auto"/>
              </w:rPr>
            </w:pPr>
          </w:p>
        </w:tc>
        <w:tc>
          <w:tcPr>
            <w:tcW w:w="1620" w:type="dxa"/>
            <w:vAlign w:val="bottom"/>
            <w:gridSpan w:val="4"/>
            <w:vMerge w:val="restart"/>
          </w:tcPr>
          <w:p>
            <w:pPr>
              <w:jc w:val="right"/>
              <w:ind w:right="253"/>
              <w:spacing w:after="0"/>
              <w:rPr>
                <w:sz w:val="20"/>
                <w:szCs w:val="20"/>
                <w:color w:val="auto"/>
              </w:rPr>
            </w:pPr>
            <w:r>
              <w:rPr>
                <w:rFonts w:ascii="Arial" w:cs="Arial" w:eastAsia="Arial" w:hAnsi="Arial"/>
                <w:sz w:val="13"/>
                <w:szCs w:val="13"/>
                <w:b w:val="1"/>
                <w:bCs w:val="1"/>
                <w:color w:val="auto"/>
              </w:rPr>
              <w:t>Preferred Shares</w:t>
            </w:r>
          </w:p>
        </w:tc>
        <w:tc>
          <w:tcPr>
            <w:tcW w:w="80" w:type="dxa"/>
            <w:vAlign w:val="bottom"/>
          </w:tcPr>
          <w:p>
            <w:pPr>
              <w:spacing w:after="0"/>
              <w:rPr>
                <w:sz w:val="7"/>
                <w:szCs w:val="7"/>
                <w:color w:val="auto"/>
              </w:rPr>
            </w:pPr>
          </w:p>
        </w:tc>
        <w:tc>
          <w:tcPr>
            <w:tcW w:w="1600" w:type="dxa"/>
            <w:vAlign w:val="bottom"/>
            <w:gridSpan w:val="4"/>
            <w:vMerge w:val="restart"/>
          </w:tcPr>
          <w:p>
            <w:pPr>
              <w:ind w:left="320"/>
              <w:spacing w:after="0"/>
              <w:rPr>
                <w:sz w:val="20"/>
                <w:szCs w:val="20"/>
                <w:color w:val="auto"/>
              </w:rPr>
            </w:pPr>
            <w:r>
              <w:rPr>
                <w:rFonts w:ascii="Arial" w:cs="Arial" w:eastAsia="Arial" w:hAnsi="Arial"/>
                <w:sz w:val="13"/>
                <w:szCs w:val="13"/>
                <w:b w:val="1"/>
                <w:bCs w:val="1"/>
                <w:color w:val="auto"/>
              </w:rPr>
              <w:t>Ordinary Shares</w:t>
            </w:r>
          </w:p>
        </w:tc>
        <w:tc>
          <w:tcPr>
            <w:tcW w:w="8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980" w:type="dxa"/>
            <w:vAlign w:val="bottom"/>
          </w:tcPr>
          <w:p>
            <w:pPr>
              <w:spacing w:after="0"/>
              <w:rPr>
                <w:sz w:val="8"/>
                <w:szCs w:val="8"/>
                <w:color w:val="auto"/>
              </w:rPr>
            </w:pPr>
          </w:p>
        </w:tc>
        <w:tc>
          <w:tcPr>
            <w:tcW w:w="1620" w:type="dxa"/>
            <w:vAlign w:val="bottom"/>
            <w:tcBorders>
              <w:bottom w:val="single" w:sz="8" w:color="auto"/>
            </w:tcBorders>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tcBorders>
              <w:bottom w:val="single" w:sz="8" w:color="auto"/>
            </w:tcBorders>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right"/>
              <w:ind w:right="94"/>
              <w:spacing w:after="0" w:line="101" w:lineRule="exact"/>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jc w:val="center"/>
              <w:ind w:right="14"/>
              <w:spacing w:after="0" w:line="101" w:lineRule="exact"/>
              <w:rPr>
                <w:sz w:val="20"/>
                <w:szCs w:val="20"/>
                <w:color w:val="auto"/>
              </w:rPr>
            </w:pPr>
            <w:r>
              <w:rPr>
                <w:rFonts w:ascii="Arial" w:cs="Arial" w:eastAsia="Arial" w:hAnsi="Arial"/>
                <w:sz w:val="11"/>
                <w:szCs w:val="11"/>
                <w:b w:val="1"/>
                <w:bCs w:val="1"/>
                <w:color w:val="auto"/>
              </w:rPr>
              <w:t>Comprehensive</w:t>
            </w:r>
          </w:p>
        </w:tc>
        <w:tc>
          <w:tcPr>
            <w:tcW w:w="80" w:type="dxa"/>
            <w:vAlign w:val="bottom"/>
          </w:tcPr>
          <w:p>
            <w:pPr>
              <w:spacing w:after="0"/>
              <w:rPr>
                <w:sz w:val="8"/>
                <w:szCs w:val="8"/>
                <w:color w:val="auto"/>
              </w:rPr>
            </w:pPr>
          </w:p>
        </w:tc>
        <w:tc>
          <w:tcPr>
            <w:tcW w:w="920" w:type="dxa"/>
            <w:vAlign w:val="bottom"/>
            <w:gridSpan w:val="2"/>
          </w:tcPr>
          <w:p>
            <w:pPr>
              <w:jc w:val="center"/>
              <w:spacing w:after="0" w:line="101" w:lineRule="exact"/>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jc w:val="center"/>
              <w:ind w:right="34"/>
              <w:spacing w:after="0" w:line="101" w:lineRule="exact"/>
              <w:rPr>
                <w:sz w:val="20"/>
                <w:szCs w:val="20"/>
                <w:color w:val="auto"/>
              </w:rPr>
            </w:pPr>
            <w:r>
              <w:rPr>
                <w:rFonts w:ascii="Arial" w:cs="Arial" w:eastAsia="Arial" w:hAnsi="Arial"/>
                <w:sz w:val="11"/>
                <w:szCs w:val="11"/>
                <w:b w:val="1"/>
                <w:bCs w:val="1"/>
                <w:color w:val="auto"/>
              </w:rPr>
              <w:t>Shareholders’</w:t>
            </w:r>
          </w:p>
        </w:tc>
        <w:tc>
          <w:tcPr>
            <w:tcW w:w="80" w:type="dxa"/>
            <w:vAlign w:val="bottom"/>
          </w:tcPr>
          <w:p>
            <w:pPr>
              <w:spacing w:after="0"/>
              <w:rPr>
                <w:sz w:val="8"/>
                <w:szCs w:val="8"/>
                <w:color w:val="auto"/>
              </w:rPr>
            </w:pPr>
          </w:p>
        </w:tc>
        <w:tc>
          <w:tcPr>
            <w:tcW w:w="760" w:type="dxa"/>
            <w:vAlign w:val="bottom"/>
            <w:gridSpan w:val="2"/>
          </w:tcPr>
          <w:p>
            <w:pPr>
              <w:jc w:val="center"/>
              <w:spacing w:after="0" w:line="101" w:lineRule="exact"/>
              <w:rPr>
                <w:sz w:val="20"/>
                <w:szCs w:val="20"/>
                <w:color w:val="auto"/>
              </w:rPr>
            </w:pPr>
            <w:r>
              <w:rPr>
                <w:rFonts w:ascii="Arial" w:cs="Arial" w:eastAsia="Arial" w:hAnsi="Arial"/>
                <w:sz w:val="11"/>
                <w:szCs w:val="11"/>
                <w:b w:val="1"/>
                <w:bCs w:val="1"/>
                <w:color w:val="auto"/>
              </w:rPr>
              <w:t>Controlling</w:t>
            </w:r>
          </w:p>
        </w:tc>
        <w:tc>
          <w:tcPr>
            <w:tcW w:w="80" w:type="dxa"/>
            <w:vAlign w:val="bottom"/>
          </w:tcPr>
          <w:p>
            <w:pPr>
              <w:spacing w:after="0"/>
              <w:rPr>
                <w:sz w:val="8"/>
                <w:szCs w:val="8"/>
                <w:color w:val="auto"/>
              </w:rPr>
            </w:pPr>
          </w:p>
        </w:tc>
        <w:tc>
          <w:tcPr>
            <w:tcW w:w="940" w:type="dxa"/>
            <w:vAlign w:val="bottom"/>
            <w:gridSpan w:val="2"/>
          </w:tcPr>
          <w:p>
            <w:pPr>
              <w:jc w:val="center"/>
              <w:spacing w:after="0" w:line="101" w:lineRule="exact"/>
              <w:rPr>
                <w:sz w:val="20"/>
                <w:szCs w:val="20"/>
                <w:color w:val="auto"/>
              </w:rPr>
            </w:pPr>
            <w:r>
              <w:rPr>
                <w:rFonts w:ascii="Arial" w:cs="Arial" w:eastAsia="Arial" w:hAnsi="Arial"/>
                <w:sz w:val="11"/>
                <w:szCs w:val="11"/>
                <w:b w:val="1"/>
                <w:bCs w:val="1"/>
                <w:color w:val="auto"/>
              </w:rPr>
              <w:t>Shareholders’</w:t>
            </w:r>
          </w:p>
        </w:tc>
        <w:tc>
          <w:tcPr>
            <w:tcW w:w="0" w:type="dxa"/>
            <w:vAlign w:val="bottom"/>
          </w:tcPr>
          <w:p>
            <w:pPr>
              <w:spacing w:after="0"/>
              <w:rPr>
                <w:sz w:val="1"/>
                <w:szCs w:val="1"/>
                <w:color w:val="auto"/>
              </w:rPr>
            </w:pPr>
          </w:p>
        </w:tc>
      </w:tr>
      <w:tr>
        <w:trPr>
          <w:trHeight w:val="196"/>
        </w:trPr>
        <w:tc>
          <w:tcPr>
            <w:tcW w:w="198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Shares(1)</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Shares(1)</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0"/>
              </w:rPr>
              <w:t>Income (Loss)</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99"/>
              </w:rPr>
              <w:t>Deficit)</w:t>
            </w:r>
          </w:p>
        </w:tc>
        <w:tc>
          <w:tcPr>
            <w:tcW w:w="80" w:type="dxa"/>
            <w:vAlign w:val="bottom"/>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Equity (Deficit)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2"/>
              </w:rPr>
              <w:t>Interests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9"/>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 December 31, 2021</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406,399,029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307,047</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194,345,791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113,170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(111,878)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176,060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177,352</w:t>
            </w:r>
          </w:p>
        </w:tc>
        <w:tc>
          <w:tcPr>
            <w:tcW w:w="0" w:type="dxa"/>
            <w:vAlign w:val="bottom"/>
          </w:tcPr>
          <w:p>
            <w:pPr>
              <w:spacing w:after="0"/>
              <w:rPr>
                <w:sz w:val="1"/>
                <w:szCs w:val="1"/>
                <w:color w:val="auto"/>
              </w:rPr>
            </w:pPr>
          </w:p>
        </w:tc>
      </w:tr>
      <w:tr>
        <w:trPr>
          <w:trHeight w:val="131"/>
        </w:trPr>
        <w:tc>
          <w:tcPr>
            <w:tcW w:w="1980" w:type="dxa"/>
            <w:vAlign w:val="bottom"/>
          </w:tcPr>
          <w:p>
            <w:pPr>
              <w:ind w:left="20"/>
              <w:spacing w:after="0" w:line="132" w:lineRule="exact"/>
              <w:rPr>
                <w:sz w:val="20"/>
                <w:szCs w:val="20"/>
                <w:color w:val="auto"/>
              </w:rPr>
            </w:pPr>
            <w:r>
              <w:rPr>
                <w:rFonts w:ascii="Arial" w:cs="Arial" w:eastAsia="Arial" w:hAnsi="Arial"/>
                <w:sz w:val="13"/>
                <w:szCs w:val="13"/>
                <w:color w:val="auto"/>
              </w:rPr>
              <w:t>Issuance of ordinary shares upon</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color w:val="auto"/>
              </w:rPr>
              <w:t>7,082,231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208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208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79"/>
        </w:trPr>
        <w:tc>
          <w:tcPr>
            <w:tcW w:w="1980" w:type="dxa"/>
            <w:vAlign w:val="bottom"/>
          </w:tcPr>
          <w:p>
            <w:pPr>
              <w:ind w:left="20"/>
              <w:spacing w:after="0"/>
              <w:rPr>
                <w:sz w:val="20"/>
                <w:szCs w:val="20"/>
                <w:color w:val="auto"/>
              </w:rPr>
            </w:pPr>
            <w:r>
              <w:rPr>
                <w:rFonts w:ascii="Arial" w:cs="Arial" w:eastAsia="Arial" w:hAnsi="Arial"/>
                <w:sz w:val="13"/>
                <w:szCs w:val="13"/>
                <w:color w:val="auto"/>
              </w:rPr>
              <w:t>exercise of share options</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16,635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16,635</w:t>
            </w:r>
          </w:p>
        </w:tc>
        <w:tc>
          <w:tcPr>
            <w:tcW w:w="0" w:type="dxa"/>
            <w:vAlign w:val="bottom"/>
          </w:tcPr>
          <w:p>
            <w:pPr>
              <w:spacing w:after="0"/>
              <w:rPr>
                <w:sz w:val="1"/>
                <w:szCs w:val="1"/>
                <w:color w:val="auto"/>
              </w:rPr>
            </w:pPr>
          </w:p>
        </w:tc>
      </w:tr>
      <w:tr>
        <w:trPr>
          <w:trHeight w:val="138"/>
        </w:trPr>
        <w:tc>
          <w:tcPr>
            <w:tcW w:w="1980" w:type="dxa"/>
            <w:vAlign w:val="bottom"/>
          </w:tcPr>
          <w:p>
            <w:pPr>
              <w:ind w:left="20"/>
              <w:spacing w:after="0" w:line="138" w:lineRule="exact"/>
              <w:rPr>
                <w:sz w:val="20"/>
                <w:szCs w:val="20"/>
                <w:color w:val="auto"/>
              </w:rPr>
            </w:pPr>
            <w:r>
              <w:rPr>
                <w:rFonts w:ascii="Arial" w:cs="Arial" w:eastAsia="Arial" w:hAnsi="Arial"/>
                <w:sz w:val="13"/>
                <w:szCs w:val="13"/>
                <w:color w:val="auto"/>
              </w:rPr>
              <w:t>Contributions of interests in</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8,547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8,547</w:t>
            </w:r>
          </w:p>
        </w:tc>
        <w:tc>
          <w:tcPr>
            <w:tcW w:w="0" w:type="dxa"/>
            <w:vAlign w:val="bottom"/>
          </w:tcPr>
          <w:p>
            <w:pPr>
              <w:spacing w:after="0"/>
              <w:rPr>
                <w:sz w:val="1"/>
                <w:szCs w:val="1"/>
                <w:color w:val="auto"/>
              </w:rPr>
            </w:pPr>
          </w:p>
        </w:tc>
      </w:tr>
      <w:tr>
        <w:trPr>
          <w:trHeight w:val="179"/>
        </w:trPr>
        <w:tc>
          <w:tcPr>
            <w:tcW w:w="1980" w:type="dxa"/>
            <w:vAlign w:val="bottom"/>
          </w:tcPr>
          <w:p>
            <w:pPr>
              <w:ind w:left="20"/>
              <w:spacing w:after="0"/>
              <w:rPr>
                <w:sz w:val="20"/>
                <w:szCs w:val="20"/>
                <w:color w:val="auto"/>
              </w:rPr>
            </w:pPr>
            <w:r>
              <w:rPr>
                <w:rFonts w:ascii="Arial" w:cs="Arial" w:eastAsia="Arial" w:hAnsi="Arial"/>
                <w:sz w:val="13"/>
                <w:szCs w:val="13"/>
                <w:color w:val="auto"/>
              </w:rPr>
              <w:t>consolidated VIEs</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98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Return of capital to interests in</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(29,658)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(29,658)</w:t>
            </w:r>
          </w:p>
        </w:tc>
        <w:tc>
          <w:tcPr>
            <w:tcW w:w="0" w:type="dxa"/>
            <w:vAlign w:val="bottom"/>
          </w:tcPr>
          <w:p>
            <w:pPr>
              <w:spacing w:after="0"/>
              <w:rPr>
                <w:sz w:val="1"/>
                <w:szCs w:val="1"/>
                <w:color w:val="auto"/>
              </w:rPr>
            </w:pPr>
          </w:p>
        </w:tc>
      </w:tr>
      <w:tr>
        <w:trPr>
          <w:trHeight w:val="186"/>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consolidated VIEs</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98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(18,272)</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(18,272)</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8,759</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(9,513)</w:t>
            </w:r>
          </w:p>
        </w:tc>
        <w:tc>
          <w:tcPr>
            <w:tcW w:w="0" w:type="dxa"/>
            <w:vAlign w:val="bottom"/>
          </w:tcPr>
          <w:p>
            <w:pPr>
              <w:spacing w:after="0"/>
              <w:rPr>
                <w:sz w:val="1"/>
                <w:szCs w:val="1"/>
                <w:color w:val="auto"/>
              </w:rPr>
            </w:pPr>
          </w:p>
        </w:tc>
      </w:tr>
      <w:tr>
        <w:trPr>
          <w:trHeight w:val="149"/>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 March, 2022</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4"/>
              </w:rPr>
              <w:t>406,399,029</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307,047</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201,428,023</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130,013</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(130,150)</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163,708</w:t>
            </w:r>
          </w:p>
        </w:tc>
        <w:tc>
          <w:tcPr>
            <w:tcW w:w="280" w:type="dxa"/>
            <w:vAlign w:val="bottom"/>
            <w:gridSpan w:val="2"/>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163,571</w:t>
            </w: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(Unreviewed)</w:t>
            </w:r>
          </w:p>
        </w:tc>
        <w:tc>
          <w:tcPr>
            <w:tcW w:w="800" w:type="dxa"/>
            <w:vAlign w:val="bottom"/>
            <w:vMerge w:val="continue"/>
            <w:shd w:val="clear" w:color="auto" w:fill="CCEEFF"/>
          </w:tcPr>
          <w:p>
            <w:pPr>
              <w:spacing w:after="0"/>
              <w:rPr>
                <w:sz w:val="15"/>
                <w:szCs w:val="15"/>
                <w:color w:val="auto"/>
              </w:rPr>
            </w:pPr>
          </w:p>
        </w:tc>
        <w:tc>
          <w:tcPr>
            <w:tcW w:w="18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8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80" w:type="dxa"/>
            <w:vAlign w:val="bottom"/>
            <w:gridSpan w:val="2"/>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-1233805</wp:posOffset>
            </wp:positionV>
            <wp:extent cx="125158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515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125158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515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408" w:right="339" w:bottom="1440" w:gutter="0" w:footer="0" w:header="0"/>
        </w:sectPr>
      </w:pPr>
    </w:p>
    <w:bookmarkStart w:id="16" w:name="page17"/>
    <w:bookmarkEnd w:id="16"/>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3"/>
                <w:szCs w:val="13"/>
                <w:color w:val="auto"/>
              </w:rPr>
            </w:pPr>
          </w:p>
        </w:tc>
        <w:tc>
          <w:tcPr>
            <w:tcW w:w="156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3"/>
              </w:rPr>
              <w:t>Redeemable Convertible</w:t>
            </w:r>
          </w:p>
        </w:tc>
        <w:tc>
          <w:tcPr>
            <w:tcW w:w="100" w:type="dxa"/>
            <w:vAlign w:val="bottom"/>
          </w:tcPr>
          <w:p>
            <w:pPr>
              <w:spacing w:after="0"/>
              <w:rPr>
                <w:sz w:val="13"/>
                <w:szCs w:val="13"/>
                <w:color w:val="auto"/>
              </w:rPr>
            </w:pPr>
          </w:p>
        </w:tc>
        <w:tc>
          <w:tcPr>
            <w:tcW w:w="160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6"/>
              </w:rPr>
              <w:t>Ordinary 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right="14"/>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73"/>
              <w:spacing w:after="0"/>
              <w:rPr>
                <w:sz w:val="20"/>
                <w:szCs w:val="20"/>
                <w:color w:val="auto"/>
              </w:rPr>
            </w:pPr>
            <w:r>
              <w:rPr>
                <w:rFonts w:ascii="Arial" w:cs="Arial" w:eastAsia="Arial" w:hAnsi="Arial"/>
                <w:sz w:val="13"/>
                <w:szCs w:val="13"/>
                <w:b w:val="1"/>
                <w:bCs w:val="1"/>
                <w:color w:val="auto"/>
                <w:w w:val="94"/>
              </w:rPr>
              <w:t>Retained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53"/>
              <w:spacing w:after="0"/>
              <w:rPr>
                <w:sz w:val="20"/>
                <w:szCs w:val="20"/>
                <w:color w:val="auto"/>
              </w:rPr>
            </w:pPr>
            <w:r>
              <w:rPr>
                <w:rFonts w:ascii="Arial" w:cs="Arial" w:eastAsia="Arial" w:hAnsi="Arial"/>
                <w:sz w:val="13"/>
                <w:szCs w:val="13"/>
                <w:b w:val="1"/>
                <w:bCs w:val="1"/>
                <w:color w:val="auto"/>
                <w:w w:val="92"/>
              </w:rPr>
              <w:t>Total Pagaya</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920" w:type="dxa"/>
            <w:vAlign w:val="bottom"/>
          </w:tcPr>
          <w:p>
            <w:pPr>
              <w:spacing w:after="0"/>
              <w:rPr>
                <w:sz w:val="4"/>
                <w:szCs w:val="4"/>
                <w:color w:val="auto"/>
              </w:rPr>
            </w:pPr>
          </w:p>
        </w:tc>
        <w:tc>
          <w:tcPr>
            <w:tcW w:w="156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2"/>
            <w:vMerge w:val="restart"/>
          </w:tcPr>
          <w:p>
            <w:pPr>
              <w:jc w:val="right"/>
              <w:spacing w:after="0" w:line="135"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vMerge w:val="restart"/>
          </w:tcPr>
          <w:p>
            <w:pPr>
              <w:jc w:val="center"/>
              <w:ind w:right="14"/>
              <w:spacing w:after="0" w:line="135"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vMerge w:val="restart"/>
          </w:tcPr>
          <w:p>
            <w:pPr>
              <w:jc w:val="center"/>
              <w:ind w:right="73"/>
              <w:spacing w:after="0" w:line="135" w:lineRule="exact"/>
              <w:rPr>
                <w:sz w:val="20"/>
                <w:szCs w:val="20"/>
                <w:color w:val="auto"/>
              </w:rPr>
            </w:pPr>
            <w:r>
              <w:rPr>
                <w:rFonts w:ascii="Arial" w:cs="Arial" w:eastAsia="Arial" w:hAnsi="Arial"/>
                <w:sz w:val="13"/>
                <w:szCs w:val="13"/>
                <w:b w:val="1"/>
                <w:bCs w:val="1"/>
                <w:color w:val="auto"/>
                <w:w w:val="93"/>
              </w:rPr>
              <w:t>Earnings</w:t>
            </w:r>
          </w:p>
        </w:tc>
        <w:tc>
          <w:tcPr>
            <w:tcW w:w="80" w:type="dxa"/>
            <w:vAlign w:val="bottom"/>
          </w:tcPr>
          <w:p>
            <w:pPr>
              <w:spacing w:after="0"/>
              <w:rPr>
                <w:sz w:val="4"/>
                <w:szCs w:val="4"/>
                <w:color w:val="auto"/>
              </w:rPr>
            </w:pPr>
          </w:p>
        </w:tc>
        <w:tc>
          <w:tcPr>
            <w:tcW w:w="106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91"/>
              </w:rPr>
              <w:t>Technologies Ltd.</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restart"/>
          </w:tcPr>
          <w:p>
            <w:pPr>
              <w:jc w:val="center"/>
              <w:ind w:right="53"/>
              <w:spacing w:after="0" w:line="135" w:lineRule="exact"/>
              <w:rPr>
                <w:sz w:val="20"/>
                <w:szCs w:val="20"/>
                <w:color w:val="auto"/>
              </w:rPr>
            </w:pPr>
            <w:r>
              <w:rPr>
                <w:rFonts w:ascii="Arial" w:cs="Arial" w:eastAsia="Arial" w:hAnsi="Arial"/>
                <w:sz w:val="13"/>
                <w:szCs w:val="13"/>
                <w:b w:val="1"/>
                <w:bCs w:val="1"/>
                <w:color w:val="auto"/>
                <w:w w:val="94"/>
              </w:rPr>
              <w:t>Non-</w:t>
            </w: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vMerge w:val="restart"/>
          </w:tcPr>
          <w:p>
            <w:pPr>
              <w:jc w:val="center"/>
              <w:ind w:right="113"/>
              <w:spacing w:after="0" w:line="135"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81"/>
        </w:trPr>
        <w:tc>
          <w:tcPr>
            <w:tcW w:w="1920" w:type="dxa"/>
            <w:vAlign w:val="bottom"/>
          </w:tcPr>
          <w:p>
            <w:pPr>
              <w:spacing w:after="0"/>
              <w:rPr>
                <w:sz w:val="7"/>
                <w:szCs w:val="7"/>
                <w:color w:val="auto"/>
              </w:rPr>
            </w:pPr>
          </w:p>
        </w:tc>
        <w:tc>
          <w:tcPr>
            <w:tcW w:w="156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3"/>
              </w:rPr>
              <w:t>Preferred Shares</w:t>
            </w:r>
          </w:p>
        </w:tc>
        <w:tc>
          <w:tcPr>
            <w:tcW w:w="100" w:type="dxa"/>
            <w:vAlign w:val="bottom"/>
          </w:tcPr>
          <w:p>
            <w:pPr>
              <w:spacing w:after="0"/>
              <w:rPr>
                <w:sz w:val="7"/>
                <w:szCs w:val="7"/>
                <w:color w:val="auto"/>
              </w:rPr>
            </w:pPr>
          </w:p>
        </w:tc>
        <w:tc>
          <w:tcPr>
            <w:tcW w:w="160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0"/>
              </w:rPr>
              <w:t>(Class A and Class B)</w:t>
            </w:r>
          </w:p>
        </w:tc>
        <w:tc>
          <w:tcPr>
            <w:tcW w:w="8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920" w:type="dxa"/>
            <w:vAlign w:val="bottom"/>
          </w:tcPr>
          <w:p>
            <w:pPr>
              <w:spacing w:after="0"/>
              <w:rPr>
                <w:sz w:val="8"/>
                <w:szCs w:val="8"/>
                <w:color w:val="auto"/>
              </w:rPr>
            </w:pPr>
          </w:p>
        </w:tc>
        <w:tc>
          <w:tcPr>
            <w:tcW w:w="1560" w:type="dxa"/>
            <w:vAlign w:val="bottom"/>
            <w:tcBorders>
              <w:bottom w:val="single" w:sz="8" w:color="auto"/>
            </w:tcBorders>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tcBorders>
              <w:bottom w:val="single" w:sz="8" w:color="auto"/>
            </w:tcBorders>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right"/>
              <w:ind w:right="94"/>
              <w:spacing w:after="0" w:line="101" w:lineRule="exact"/>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jc w:val="center"/>
              <w:ind w:right="14"/>
              <w:spacing w:after="0" w:line="101" w:lineRule="exact"/>
              <w:rPr>
                <w:sz w:val="20"/>
                <w:szCs w:val="20"/>
                <w:color w:val="auto"/>
              </w:rPr>
            </w:pPr>
            <w:r>
              <w:rPr>
                <w:rFonts w:ascii="Arial" w:cs="Arial" w:eastAsia="Arial" w:hAnsi="Arial"/>
                <w:sz w:val="11"/>
                <w:szCs w:val="11"/>
                <w:b w:val="1"/>
                <w:bCs w:val="1"/>
                <w:color w:val="auto"/>
              </w:rPr>
              <w:t>Comprehensive</w:t>
            </w:r>
          </w:p>
        </w:tc>
        <w:tc>
          <w:tcPr>
            <w:tcW w:w="100" w:type="dxa"/>
            <w:vAlign w:val="bottom"/>
          </w:tcPr>
          <w:p>
            <w:pPr>
              <w:spacing w:after="0"/>
              <w:rPr>
                <w:sz w:val="8"/>
                <w:szCs w:val="8"/>
                <w:color w:val="auto"/>
              </w:rPr>
            </w:pPr>
          </w:p>
        </w:tc>
        <w:tc>
          <w:tcPr>
            <w:tcW w:w="920" w:type="dxa"/>
            <w:vAlign w:val="bottom"/>
            <w:gridSpan w:val="2"/>
          </w:tcPr>
          <w:p>
            <w:pPr>
              <w:jc w:val="center"/>
              <w:spacing w:after="0" w:line="101" w:lineRule="exact"/>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jc w:val="center"/>
              <w:ind w:right="33"/>
              <w:spacing w:after="0" w:line="101" w:lineRule="exact"/>
              <w:rPr>
                <w:sz w:val="20"/>
                <w:szCs w:val="20"/>
                <w:color w:val="auto"/>
              </w:rPr>
            </w:pPr>
            <w:r>
              <w:rPr>
                <w:rFonts w:ascii="Arial" w:cs="Arial" w:eastAsia="Arial" w:hAnsi="Arial"/>
                <w:sz w:val="11"/>
                <w:szCs w:val="11"/>
                <w:b w:val="1"/>
                <w:bCs w:val="1"/>
                <w:color w:val="auto"/>
              </w:rPr>
              <w:t>Shareholders’</w:t>
            </w:r>
          </w:p>
        </w:tc>
        <w:tc>
          <w:tcPr>
            <w:tcW w:w="100" w:type="dxa"/>
            <w:vAlign w:val="bottom"/>
          </w:tcPr>
          <w:p>
            <w:pPr>
              <w:spacing w:after="0"/>
              <w:rPr>
                <w:sz w:val="8"/>
                <w:szCs w:val="8"/>
                <w:color w:val="auto"/>
              </w:rPr>
            </w:pPr>
          </w:p>
        </w:tc>
        <w:tc>
          <w:tcPr>
            <w:tcW w:w="780" w:type="dxa"/>
            <w:vAlign w:val="bottom"/>
            <w:gridSpan w:val="2"/>
          </w:tcPr>
          <w:p>
            <w:pPr>
              <w:jc w:val="center"/>
              <w:spacing w:after="0" w:line="101" w:lineRule="exact"/>
              <w:rPr>
                <w:sz w:val="20"/>
                <w:szCs w:val="20"/>
                <w:color w:val="auto"/>
              </w:rPr>
            </w:pPr>
            <w:r>
              <w:rPr>
                <w:rFonts w:ascii="Arial" w:cs="Arial" w:eastAsia="Arial" w:hAnsi="Arial"/>
                <w:sz w:val="11"/>
                <w:szCs w:val="11"/>
                <w:b w:val="1"/>
                <w:bCs w:val="1"/>
                <w:color w:val="auto"/>
              </w:rPr>
              <w:t>Controlling</w:t>
            </w:r>
          </w:p>
        </w:tc>
        <w:tc>
          <w:tcPr>
            <w:tcW w:w="80" w:type="dxa"/>
            <w:vAlign w:val="bottom"/>
          </w:tcPr>
          <w:p>
            <w:pPr>
              <w:spacing w:after="0"/>
              <w:rPr>
                <w:sz w:val="8"/>
                <w:szCs w:val="8"/>
                <w:color w:val="auto"/>
              </w:rPr>
            </w:pPr>
          </w:p>
        </w:tc>
        <w:tc>
          <w:tcPr>
            <w:tcW w:w="940" w:type="dxa"/>
            <w:vAlign w:val="bottom"/>
            <w:gridSpan w:val="2"/>
          </w:tcPr>
          <w:p>
            <w:pPr>
              <w:jc w:val="center"/>
              <w:spacing w:after="0" w:line="101" w:lineRule="exact"/>
              <w:rPr>
                <w:sz w:val="20"/>
                <w:szCs w:val="20"/>
                <w:color w:val="auto"/>
              </w:rPr>
            </w:pPr>
            <w:r>
              <w:rPr>
                <w:rFonts w:ascii="Arial" w:cs="Arial" w:eastAsia="Arial" w:hAnsi="Arial"/>
                <w:sz w:val="11"/>
                <w:szCs w:val="11"/>
                <w:b w:val="1"/>
                <w:bCs w:val="1"/>
                <w:color w:val="auto"/>
              </w:rPr>
              <w:t>Shareholders’</w:t>
            </w: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Shares(1)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Shares(1)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2"/>
              </w:rPr>
              <w:t>Income (Loss)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99"/>
              </w:rPr>
              <w:t>Deficit)</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Equity (Deficit)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2"/>
              </w:rPr>
              <w:t>Interests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 December 31, 2022</w:t>
            </w:r>
          </w:p>
        </w:tc>
        <w:tc>
          <w:tcPr>
            <w:tcW w:w="7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683,311,591</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968,432</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(414,199)</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553,520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211,903</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765,423</w:t>
            </w:r>
          </w:p>
        </w:tc>
        <w:tc>
          <w:tcPr>
            <w:tcW w:w="0" w:type="dxa"/>
            <w:vAlign w:val="bottom"/>
          </w:tcPr>
          <w:p>
            <w:pPr>
              <w:spacing w:after="0"/>
              <w:rPr>
                <w:sz w:val="1"/>
                <w:szCs w:val="1"/>
                <w:color w:val="auto"/>
              </w:rPr>
            </w:pPr>
          </w:p>
        </w:tc>
      </w:tr>
      <w:tr>
        <w:trPr>
          <w:trHeight w:val="118"/>
        </w:trPr>
        <w:tc>
          <w:tcPr>
            <w:tcW w:w="1920" w:type="dxa"/>
            <w:vAlign w:val="bottom"/>
          </w:tcPr>
          <w:p>
            <w:pPr>
              <w:ind w:left="20"/>
              <w:spacing w:after="0" w:line="118" w:lineRule="exact"/>
              <w:rPr>
                <w:sz w:val="20"/>
                <w:szCs w:val="20"/>
                <w:color w:val="auto"/>
              </w:rPr>
            </w:pPr>
            <w:r>
              <w:rPr>
                <w:rFonts w:ascii="Arial" w:cs="Arial" w:eastAsia="Arial" w:hAnsi="Arial"/>
                <w:sz w:val="13"/>
                <w:szCs w:val="13"/>
                <w:color w:val="auto"/>
                <w:w w:val="97"/>
              </w:rPr>
              <w:t>Issuance of ordinary shares upon</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3"/>
                <w:szCs w:val="13"/>
                <w:color w:val="auto"/>
              </w:rPr>
              <w:t>195,655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1920" w:type="dxa"/>
            <w:vAlign w:val="bottom"/>
          </w:tcPr>
          <w:p>
            <w:pPr>
              <w:ind w:left="20"/>
              <w:spacing w:after="0"/>
              <w:rPr>
                <w:sz w:val="20"/>
                <w:szCs w:val="20"/>
                <w:color w:val="auto"/>
              </w:rPr>
            </w:pPr>
            <w:r>
              <w:rPr>
                <w:rFonts w:ascii="Arial" w:cs="Arial" w:eastAsia="Arial" w:hAnsi="Arial"/>
                <w:sz w:val="13"/>
                <w:szCs w:val="13"/>
                <w:color w:val="auto"/>
              </w:rPr>
              <w:t>exercise of warrants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92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w w:val="97"/>
              </w:rPr>
              <w:t>Issuance of ordinary shares upon</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2,059,317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484</w:t>
            </w:r>
          </w:p>
        </w:tc>
        <w:tc>
          <w:tcPr>
            <w:tcW w:w="0" w:type="dxa"/>
            <w:vAlign w:val="bottom"/>
          </w:tcPr>
          <w:p>
            <w:pPr>
              <w:spacing w:after="0"/>
              <w:rPr>
                <w:sz w:val="1"/>
                <w:szCs w:val="1"/>
                <w:color w:val="auto"/>
              </w:rPr>
            </w:pPr>
          </w:p>
        </w:tc>
      </w:tr>
      <w:tr>
        <w:trPr>
          <w:trHeight w:val="186"/>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share options</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tcPr>
          <w:p>
            <w:pPr>
              <w:ind w:left="20"/>
              <w:spacing w:after="0" w:line="138" w:lineRule="exact"/>
              <w:rPr>
                <w:sz w:val="20"/>
                <w:szCs w:val="20"/>
                <w:color w:val="auto"/>
              </w:rPr>
            </w:pPr>
            <w:r>
              <w:rPr>
                <w:rFonts w:ascii="Arial" w:cs="Arial" w:eastAsia="Arial" w:hAnsi="Arial"/>
                <w:sz w:val="13"/>
                <w:szCs w:val="13"/>
                <w:color w:val="auto"/>
                <w:w w:val="97"/>
              </w:rPr>
              <w:t>Issuance of ordinary shares upon</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3"/>
                <w:szCs w:val="13"/>
                <w:color w:val="auto"/>
              </w:rPr>
              <w:t>324,948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1920" w:type="dxa"/>
            <w:vAlign w:val="bottom"/>
          </w:tcPr>
          <w:p>
            <w:pPr>
              <w:ind w:left="20"/>
              <w:spacing w:after="0"/>
              <w:rPr>
                <w:sz w:val="20"/>
                <w:szCs w:val="20"/>
                <w:color w:val="auto"/>
              </w:rPr>
            </w:pPr>
            <w:r>
              <w:rPr>
                <w:rFonts w:ascii="Arial" w:cs="Arial" w:eastAsia="Arial" w:hAnsi="Arial"/>
                <w:sz w:val="13"/>
                <w:szCs w:val="13"/>
                <w:color w:val="auto"/>
              </w:rPr>
              <w:t>vesting of RSUs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17,296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17,296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17,296</w:t>
            </w:r>
          </w:p>
        </w:tc>
        <w:tc>
          <w:tcPr>
            <w:tcW w:w="0" w:type="dxa"/>
            <w:vAlign w:val="bottom"/>
          </w:tcPr>
          <w:p>
            <w:pPr>
              <w:spacing w:after="0"/>
              <w:rPr>
                <w:sz w:val="1"/>
                <w:szCs w:val="1"/>
                <w:color w:val="auto"/>
              </w:rPr>
            </w:pPr>
          </w:p>
        </w:tc>
      </w:tr>
      <w:tr>
        <w:trPr>
          <w:trHeight w:val="138"/>
        </w:trPr>
        <w:tc>
          <w:tcPr>
            <w:tcW w:w="1920" w:type="dxa"/>
            <w:vAlign w:val="bottom"/>
          </w:tcPr>
          <w:p>
            <w:pPr>
              <w:ind w:left="20"/>
              <w:spacing w:after="0" w:line="138" w:lineRule="exact"/>
              <w:rPr>
                <w:sz w:val="20"/>
                <w:szCs w:val="20"/>
                <w:color w:val="auto"/>
              </w:rPr>
            </w:pPr>
            <w:r>
              <w:rPr>
                <w:rFonts w:ascii="Arial" w:cs="Arial" w:eastAsia="Arial" w:hAnsi="Arial"/>
                <w:sz w:val="13"/>
                <w:szCs w:val="13"/>
                <w:color w:val="auto"/>
              </w:rPr>
              <w:t>Issuance of ordinary shares in</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20"/>
              <w:spacing w:after="0" w:line="135" w:lineRule="exact"/>
              <w:rPr>
                <w:sz w:val="20"/>
                <w:szCs w:val="20"/>
                <w:color w:val="auto"/>
              </w:rPr>
            </w:pPr>
            <w:r>
              <w:rPr>
                <w:rFonts w:ascii="Arial" w:cs="Arial" w:eastAsia="Arial" w:hAnsi="Arial"/>
                <w:sz w:val="13"/>
                <w:szCs w:val="13"/>
                <w:color w:val="auto"/>
                <w:w w:val="98"/>
              </w:rPr>
              <w:t>connection with the acquisition of</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3"/>
                <w:szCs w:val="13"/>
                <w:color w:val="auto"/>
              </w:rPr>
              <w:t>18,181,746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18,134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18,134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18,134</w:t>
            </w:r>
          </w:p>
        </w:tc>
        <w:tc>
          <w:tcPr>
            <w:tcW w:w="0" w:type="dxa"/>
            <w:vAlign w:val="bottom"/>
          </w:tcPr>
          <w:p>
            <w:pPr>
              <w:spacing w:after="0"/>
              <w:rPr>
                <w:sz w:val="1"/>
                <w:szCs w:val="1"/>
                <w:color w:val="auto"/>
              </w:rPr>
            </w:pPr>
          </w:p>
        </w:tc>
      </w:tr>
      <w:tr>
        <w:trPr>
          <w:trHeight w:val="179"/>
        </w:trPr>
        <w:tc>
          <w:tcPr>
            <w:tcW w:w="1920" w:type="dxa"/>
            <w:vAlign w:val="bottom"/>
          </w:tcPr>
          <w:p>
            <w:pPr>
              <w:ind w:left="20"/>
              <w:spacing w:after="0"/>
              <w:rPr>
                <w:sz w:val="20"/>
                <w:szCs w:val="20"/>
                <w:color w:val="auto"/>
              </w:rPr>
            </w:pPr>
            <w:r>
              <w:rPr>
                <w:rFonts w:ascii="Arial" w:cs="Arial" w:eastAsia="Arial" w:hAnsi="Arial"/>
                <w:sz w:val="13"/>
                <w:szCs w:val="13"/>
                <w:color w:val="auto"/>
              </w:rPr>
              <w:t>Darwin Homes, Inc.</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92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Contributions of interests in</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10,128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10,128</w:t>
            </w:r>
          </w:p>
        </w:tc>
        <w:tc>
          <w:tcPr>
            <w:tcW w:w="0" w:type="dxa"/>
            <w:vAlign w:val="bottom"/>
          </w:tcPr>
          <w:p>
            <w:pPr>
              <w:spacing w:after="0"/>
              <w:rPr>
                <w:sz w:val="1"/>
                <w:szCs w:val="1"/>
                <w:color w:val="auto"/>
              </w:rPr>
            </w:pPr>
          </w:p>
        </w:tc>
      </w:tr>
      <w:tr>
        <w:trPr>
          <w:trHeight w:val="186"/>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consolidated VIEs</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tcPr>
          <w:p>
            <w:pPr>
              <w:ind w:left="20"/>
              <w:spacing w:after="0" w:line="138" w:lineRule="exact"/>
              <w:rPr>
                <w:sz w:val="20"/>
                <w:szCs w:val="20"/>
                <w:color w:val="auto"/>
              </w:rPr>
            </w:pPr>
            <w:r>
              <w:rPr>
                <w:rFonts w:ascii="Arial" w:cs="Arial" w:eastAsia="Arial" w:hAnsi="Arial"/>
                <w:sz w:val="13"/>
                <w:szCs w:val="13"/>
                <w:color w:val="auto"/>
              </w:rPr>
              <w:t>Return of capital to interests in</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(12,194)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(12,194)</w:t>
            </w:r>
          </w:p>
        </w:tc>
        <w:tc>
          <w:tcPr>
            <w:tcW w:w="0" w:type="dxa"/>
            <w:vAlign w:val="bottom"/>
          </w:tcPr>
          <w:p>
            <w:pPr>
              <w:spacing w:after="0"/>
              <w:rPr>
                <w:sz w:val="1"/>
                <w:szCs w:val="1"/>
                <w:color w:val="auto"/>
              </w:rPr>
            </w:pPr>
          </w:p>
        </w:tc>
      </w:tr>
      <w:tr>
        <w:trPr>
          <w:trHeight w:val="179"/>
        </w:trPr>
        <w:tc>
          <w:tcPr>
            <w:tcW w:w="1920" w:type="dxa"/>
            <w:vAlign w:val="bottom"/>
          </w:tcPr>
          <w:p>
            <w:pPr>
              <w:ind w:left="20"/>
              <w:spacing w:after="0"/>
              <w:rPr>
                <w:sz w:val="20"/>
                <w:szCs w:val="20"/>
                <w:color w:val="auto"/>
              </w:rPr>
            </w:pPr>
            <w:r>
              <w:rPr>
                <w:rFonts w:ascii="Arial" w:cs="Arial" w:eastAsia="Arial" w:hAnsi="Arial"/>
                <w:sz w:val="13"/>
                <w:szCs w:val="13"/>
                <w:color w:val="auto"/>
              </w:rPr>
              <w:t>consolidated VIEs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92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Other comprehensive income</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16,338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15,792</w:t>
            </w:r>
          </w:p>
        </w:tc>
        <w:tc>
          <w:tcPr>
            <w:tcW w:w="0" w:type="dxa"/>
            <w:vAlign w:val="bottom"/>
          </w:tcPr>
          <w:p>
            <w:pPr>
              <w:spacing w:after="0"/>
              <w:rPr>
                <w:sz w:val="1"/>
                <w:szCs w:val="1"/>
                <w:color w:val="auto"/>
              </w:rPr>
            </w:pPr>
          </w:p>
        </w:tc>
      </w:tr>
      <w:tr>
        <w:trPr>
          <w:trHeight w:val="186"/>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 (loss)</w:t>
            </w: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(60,971)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(60,971)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(37,652)</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(98,623)</w:t>
            </w:r>
          </w:p>
        </w:tc>
        <w:tc>
          <w:tcPr>
            <w:tcW w:w="0" w:type="dxa"/>
            <w:vAlign w:val="bottom"/>
          </w:tcPr>
          <w:p>
            <w:pPr>
              <w:spacing w:after="0"/>
              <w:rPr>
                <w:sz w:val="1"/>
                <w:szCs w:val="1"/>
                <w:color w:val="auto"/>
              </w:rPr>
            </w:pPr>
          </w:p>
        </w:tc>
      </w:tr>
      <w:tr>
        <w:trPr>
          <w:trHeight w:val="209"/>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 March 31, 2023</w:t>
            </w:r>
          </w:p>
        </w:tc>
        <w:tc>
          <w:tcPr>
            <w:tcW w:w="7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704,073,257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1,004,346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(475,170)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527,917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188,523</w:t>
            </w:r>
          </w:p>
        </w:tc>
        <w:tc>
          <w:tcPr>
            <w:tcW w:w="26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716,440</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-2073910</wp:posOffset>
            </wp:positionV>
            <wp:extent cx="12084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840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12084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8405" cy="1714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(1) Prior period amounts have been retroactively adjusted to reflect the 1:186.9 stock split effected on June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440"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PAGAYA TECHNOLOGIES LTD.</w:t>
      </w:r>
    </w:p>
    <w:p>
      <w:pPr>
        <w:spacing w:after="0" w:line="10" w:lineRule="exact"/>
        <w:rPr>
          <w:sz w:val="20"/>
          <w:szCs w:val="20"/>
          <w:color w:val="auto"/>
        </w:rPr>
      </w:pPr>
    </w:p>
    <w:p>
      <w:pPr>
        <w:ind w:right="4580"/>
        <w:spacing w:after="0" w:line="237" w:lineRule="auto"/>
        <w:rPr>
          <w:sz w:val="20"/>
          <w:szCs w:val="20"/>
          <w:color w:val="auto"/>
        </w:rPr>
      </w:pPr>
      <w:r>
        <w:rPr>
          <w:rFonts w:ascii="Arial" w:cs="Arial" w:eastAsia="Arial" w:hAnsi="Arial"/>
          <w:sz w:val="16"/>
          <w:szCs w:val="16"/>
          <w:b w:val="1"/>
          <w:bCs w:val="1"/>
          <w:color w:val="auto"/>
        </w:rPr>
        <w:t>UNAUDITED CONDENSED CONSOLIDATED INTERIM STATEMENTS OF CASH FLOWS FOR THREE MONTHS ENDED March 31, 2023 AND 2022</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40" w:type="dxa"/>
            <w:vAlign w:val="bottom"/>
          </w:tcPr>
          <w:p>
            <w:pPr>
              <w:spacing w:after="0"/>
              <w:rPr>
                <w:sz w:val="15"/>
                <w:szCs w:val="15"/>
                <w:color w:val="auto"/>
              </w:rPr>
            </w:pPr>
          </w:p>
        </w:tc>
        <w:tc>
          <w:tcPr>
            <w:tcW w:w="3000" w:type="dxa"/>
            <w:vAlign w:val="bottom"/>
            <w:tcBorders>
              <w:bottom w:val="single" w:sz="8" w:color="auto"/>
            </w:tcBorders>
            <w:gridSpan w:val="5"/>
          </w:tcPr>
          <w:p>
            <w:pPr>
              <w:jc w:val="right"/>
              <w:ind w:right="577"/>
              <w:spacing w:after="0"/>
              <w:rPr>
                <w:sz w:val="20"/>
                <w:szCs w:val="20"/>
                <w:color w:val="auto"/>
              </w:rPr>
            </w:pPr>
            <w:r>
              <w:rPr>
                <w:rFonts w:ascii="Arial" w:cs="Arial" w:eastAsia="Arial" w:hAnsi="Arial"/>
                <w:sz w:val="13"/>
                <w:szCs w:val="13"/>
                <w:b w:val="1"/>
                <w:bCs w:val="1"/>
                <w:color w:val="auto"/>
              </w:rPr>
              <w:t>Three Months Ended March 31,</w:t>
            </w:r>
          </w:p>
        </w:tc>
      </w:tr>
      <w:tr>
        <w:trPr>
          <w:trHeight w:val="170"/>
        </w:trPr>
        <w:tc>
          <w:tcPr>
            <w:tcW w:w="82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2022</w:t>
            </w:r>
          </w:p>
        </w:tc>
      </w:tr>
      <w:tr>
        <w:trPr>
          <w:trHeight w:val="188"/>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97"/>
              <w:spacing w:after="0"/>
              <w:rPr>
                <w:sz w:val="20"/>
                <w:szCs w:val="20"/>
                <w:color w:val="auto"/>
              </w:rPr>
            </w:pPr>
            <w:r>
              <w:rPr>
                <w:rFonts w:ascii="Arial" w:cs="Arial" w:eastAsia="Arial" w:hAnsi="Arial"/>
                <w:sz w:val="13"/>
                <w:szCs w:val="13"/>
                <w:b w:val="1"/>
                <w:bCs w:val="1"/>
                <w:color w:val="auto"/>
              </w:rPr>
              <w:t>(Unreviewed)</w:t>
            </w:r>
          </w:p>
        </w:tc>
      </w:tr>
      <w:tr>
        <w:trPr>
          <w:trHeight w:val="160"/>
        </w:trPr>
        <w:tc>
          <w:tcPr>
            <w:tcW w:w="8240" w:type="dxa"/>
            <w:vAlign w:val="bottom"/>
          </w:tcPr>
          <w:p>
            <w:pPr>
              <w:ind w:left="140"/>
              <w:spacing w:after="0"/>
              <w:rPr>
                <w:sz w:val="20"/>
                <w:szCs w:val="20"/>
                <w:color w:val="auto"/>
              </w:rPr>
            </w:pPr>
            <w:r>
              <w:rPr>
                <w:rFonts w:ascii="Arial" w:cs="Arial" w:eastAsia="Arial" w:hAnsi="Arial"/>
                <w:sz w:val="13"/>
                <w:szCs w:val="13"/>
                <w:color w:val="auto"/>
              </w:rPr>
              <w:t>Net loss including noncontrolling interests</w:t>
            </w:r>
          </w:p>
        </w:tc>
        <w:tc>
          <w:tcPr>
            <w:tcW w:w="880" w:type="dxa"/>
            <w:vAlign w:val="bottom"/>
          </w:tcPr>
          <w:p>
            <w:pPr>
              <w:jc w:val="right"/>
              <w:ind w:right="73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(98,623)</w:t>
            </w:r>
          </w:p>
        </w:tc>
        <w:tc>
          <w:tcPr>
            <w:tcW w:w="34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(9,513)</w:t>
            </w:r>
          </w:p>
        </w:tc>
      </w:tr>
      <w:tr>
        <w:trPr>
          <w:trHeight w:val="29"/>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75"/>
        </w:trPr>
        <w:tc>
          <w:tcPr>
            <w:tcW w:w="8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 to reconcile net income (loss) to net cash used in operating activities: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68"/>
        </w:trPr>
        <w:tc>
          <w:tcPr>
            <w:tcW w:w="8240" w:type="dxa"/>
            <w:vAlign w:val="bottom"/>
          </w:tcPr>
          <w:p>
            <w:pPr>
              <w:ind w:left="240"/>
              <w:spacing w:after="0"/>
              <w:rPr>
                <w:sz w:val="20"/>
                <w:szCs w:val="20"/>
                <w:color w:val="auto"/>
              </w:rPr>
            </w:pPr>
            <w:r>
              <w:rPr>
                <w:rFonts w:ascii="Arial" w:cs="Arial" w:eastAsia="Arial" w:hAnsi="Arial"/>
                <w:sz w:val="13"/>
                <w:szCs w:val="13"/>
                <w:color w:val="auto"/>
              </w:rPr>
              <w:t>Equity method income (loss)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(987)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8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8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3,516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477</w:t>
            </w:r>
          </w:p>
        </w:tc>
      </w:tr>
      <w:tr>
        <w:trPr>
          <w:trHeight w:val="168"/>
        </w:trPr>
        <w:tc>
          <w:tcPr>
            <w:tcW w:w="8240" w:type="dxa"/>
            <w:vAlign w:val="bottom"/>
          </w:tcPr>
          <w:p>
            <w:pPr>
              <w:ind w:left="240"/>
              <w:spacing w:after="0"/>
              <w:rPr>
                <w:sz w:val="20"/>
                <w:szCs w:val="20"/>
                <w:color w:val="auto"/>
              </w:rPr>
            </w:pPr>
            <w:r>
              <w:rPr>
                <w:rFonts w:ascii="Arial" w:cs="Arial" w:eastAsia="Arial" w:hAnsi="Arial"/>
                <w:sz w:val="13"/>
                <w:szCs w:val="13"/>
                <w:color w:val="auto"/>
              </w:rPr>
              <w:t>Share-based compensation</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16,367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16,635</w:t>
            </w:r>
          </w:p>
        </w:tc>
      </w:tr>
      <w:tr>
        <w:trPr>
          <w:trHeight w:val="183"/>
        </w:trPr>
        <w:tc>
          <w:tcPr>
            <w:tcW w:w="82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Fair value adjustment to warrant liability</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w:t>
            </w:r>
          </w:p>
        </w:tc>
      </w:tr>
      <w:tr>
        <w:trPr>
          <w:trHeight w:val="160"/>
        </w:trPr>
        <w:tc>
          <w:tcPr>
            <w:tcW w:w="8240" w:type="dxa"/>
            <w:vAlign w:val="bottom"/>
          </w:tcPr>
          <w:p>
            <w:pPr>
              <w:ind w:left="240"/>
              <w:spacing w:after="0"/>
              <w:rPr>
                <w:sz w:val="20"/>
                <w:szCs w:val="20"/>
                <w:color w:val="auto"/>
              </w:rPr>
            </w:pPr>
            <w:r>
              <w:rPr>
                <w:rFonts w:ascii="Arial" w:cs="Arial" w:eastAsia="Arial" w:hAnsi="Arial"/>
                <w:sz w:val="13"/>
                <w:szCs w:val="13"/>
                <w:color w:val="auto"/>
              </w:rPr>
              <w:t>Write-off of capitalized software</w:t>
            </w:r>
          </w:p>
        </w:tc>
        <w:tc>
          <w:tcPr>
            <w:tcW w:w="8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1,549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9"/>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75"/>
        </w:trPr>
        <w:tc>
          <w:tcPr>
            <w:tcW w:w="82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Impairment loss on available-for-sale debt securities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68,347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240" w:type="dxa"/>
            <w:vAlign w:val="bottom"/>
          </w:tcPr>
          <w:p>
            <w:pPr>
              <w:ind w:left="240"/>
              <w:spacing w:after="0"/>
              <w:rPr>
                <w:sz w:val="20"/>
                <w:szCs w:val="20"/>
                <w:color w:val="auto"/>
              </w:rPr>
            </w:pPr>
            <w:r>
              <w:rPr>
                <w:rFonts w:ascii="Arial" w:cs="Arial" w:eastAsia="Arial" w:hAnsi="Arial"/>
                <w:sz w:val="13"/>
                <w:szCs w:val="13"/>
                <w:color w:val="auto"/>
              </w:rPr>
              <w:t>Change in operating assets and liabilities:</w:t>
            </w: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7"/>
        </w:trPr>
        <w:tc>
          <w:tcPr>
            <w:tcW w:w="8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3"/>
                <w:szCs w:val="13"/>
                <w:color w:val="auto"/>
              </w:rPr>
              <w:t>Fees and other receivables</w:t>
            </w:r>
          </w:p>
        </w:tc>
        <w:tc>
          <w:tcPr>
            <w:tcW w:w="8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(1,220)</w:t>
            </w:r>
          </w:p>
        </w:tc>
      </w:tr>
      <w:tr>
        <w:trPr>
          <w:trHeight w:val="168"/>
        </w:trPr>
        <w:tc>
          <w:tcPr>
            <w:tcW w:w="8240" w:type="dxa"/>
            <w:vAlign w:val="bottom"/>
          </w:tcPr>
          <w:p>
            <w:pPr>
              <w:ind w:left="460"/>
              <w:spacing w:after="0"/>
              <w:rPr>
                <w:sz w:val="20"/>
                <w:szCs w:val="20"/>
                <w:color w:val="auto"/>
              </w:rPr>
            </w:pPr>
            <w:r>
              <w:rPr>
                <w:rFonts w:ascii="Arial" w:cs="Arial" w:eastAsia="Arial" w:hAnsi="Arial"/>
                <w:sz w:val="13"/>
                <w:szCs w:val="13"/>
                <w:color w:val="auto"/>
              </w:rPr>
              <w:t>Deferred tax assets, net</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(3,513)</w:t>
            </w:r>
          </w:p>
        </w:tc>
      </w:tr>
      <w:tr>
        <w:trPr>
          <w:trHeight w:val="183"/>
        </w:trPr>
        <w:tc>
          <w:tcPr>
            <w:tcW w:w="82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Deferred tax liabilities, net</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8240" w:type="dxa"/>
            <w:vAlign w:val="bottom"/>
          </w:tcPr>
          <w:p>
            <w:pPr>
              <w:ind w:left="460"/>
              <w:spacing w:after="0"/>
              <w:rPr>
                <w:sz w:val="20"/>
                <w:szCs w:val="20"/>
                <w:color w:val="auto"/>
              </w:rPr>
            </w:pPr>
            <w:r>
              <w:rPr>
                <w:rFonts w:ascii="Arial" w:cs="Arial" w:eastAsia="Arial" w:hAnsi="Arial"/>
                <w:sz w:val="13"/>
                <w:szCs w:val="13"/>
                <w:color w:val="auto"/>
              </w:rPr>
              <w:t>Prepaid expenses and other assets</w:t>
            </w:r>
          </w:p>
        </w:tc>
        <w:tc>
          <w:tcPr>
            <w:tcW w:w="8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3,528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29"/>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75"/>
        </w:trPr>
        <w:tc>
          <w:tcPr>
            <w:tcW w:w="82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Right-of-use asset</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1,852</w:t>
            </w:r>
          </w:p>
        </w:tc>
      </w:tr>
      <w:tr>
        <w:trPr>
          <w:trHeight w:val="168"/>
        </w:trPr>
        <w:tc>
          <w:tcPr>
            <w:tcW w:w="8240" w:type="dxa"/>
            <w:vAlign w:val="bottom"/>
          </w:tcPr>
          <w:p>
            <w:pPr>
              <w:ind w:left="460"/>
              <w:spacing w:after="0"/>
              <w:rPr>
                <w:sz w:val="20"/>
                <w:szCs w:val="20"/>
                <w:color w:val="auto"/>
              </w:rPr>
            </w:pPr>
            <w:r>
              <w:rPr>
                <w:rFonts w:ascii="Arial" w:cs="Arial" w:eastAsia="Arial" w:hAnsi="Arial"/>
                <w:sz w:val="13"/>
                <w:szCs w:val="13"/>
                <w:color w:val="auto"/>
              </w:rPr>
              <w:t>Accounts payable</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999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(6,709)</w:t>
            </w:r>
          </w:p>
        </w:tc>
      </w:tr>
      <w:tr>
        <w:trPr>
          <w:trHeight w:val="183"/>
        </w:trPr>
        <w:tc>
          <w:tcPr>
            <w:tcW w:w="82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Accrued expenses and other liabilities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(22,573)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(1,350)</w:t>
            </w:r>
          </w:p>
        </w:tc>
      </w:tr>
      <w:tr>
        <w:trPr>
          <w:trHeight w:val="160"/>
        </w:trPr>
        <w:tc>
          <w:tcPr>
            <w:tcW w:w="8240" w:type="dxa"/>
            <w:vAlign w:val="bottom"/>
          </w:tcPr>
          <w:p>
            <w:pPr>
              <w:ind w:left="460"/>
              <w:spacing w:after="0"/>
              <w:rPr>
                <w:sz w:val="20"/>
                <w:szCs w:val="20"/>
                <w:color w:val="auto"/>
              </w:rPr>
            </w:pPr>
            <w:r>
              <w:rPr>
                <w:rFonts w:ascii="Arial" w:cs="Arial" w:eastAsia="Arial" w:hAnsi="Arial"/>
                <w:sz w:val="13"/>
                <w:szCs w:val="13"/>
                <w:color w:val="auto"/>
              </w:rPr>
              <w:t>Operating lease liability</w:t>
            </w:r>
          </w:p>
        </w:tc>
        <w:tc>
          <w:tcPr>
            <w:tcW w:w="8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(3,530)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(2,473)</w:t>
            </w:r>
          </w:p>
        </w:tc>
      </w:tr>
      <w:tr>
        <w:trPr>
          <w:trHeight w:val="29"/>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9"/>
        </w:trPr>
        <w:tc>
          <w:tcPr>
            <w:tcW w:w="8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3"/>
                <w:szCs w:val="13"/>
                <w:color w:val="auto"/>
              </w:rPr>
              <w:t>Income tax payable</w:t>
            </w:r>
          </w:p>
        </w:tc>
        <w:tc>
          <w:tcPr>
            <w:tcW w:w="8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6,117</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2,479</w:t>
            </w:r>
          </w:p>
        </w:tc>
      </w:tr>
      <w:tr>
        <w:trPr>
          <w:trHeight w:val="174"/>
        </w:trPr>
        <w:tc>
          <w:tcPr>
            <w:tcW w:w="8240" w:type="dxa"/>
            <w:vAlign w:val="bottom"/>
          </w:tcPr>
          <w:p>
            <w:pPr>
              <w:ind w:left="20"/>
              <w:spacing w:after="0"/>
              <w:rPr>
                <w:sz w:val="20"/>
                <w:szCs w:val="20"/>
                <w:color w:val="auto"/>
              </w:rPr>
            </w:pPr>
            <w:r>
              <w:rPr>
                <w:rFonts w:ascii="Arial" w:cs="Arial" w:eastAsia="Arial" w:hAnsi="Arial"/>
                <w:sz w:val="13"/>
                <w:szCs w:val="13"/>
                <w:b w:val="1"/>
                <w:bCs w:val="1"/>
                <w:color w:val="auto"/>
              </w:rPr>
              <w:t>Net cash used in operating activities</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(23,673)</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(2,823)</w:t>
            </w:r>
          </w:p>
        </w:tc>
      </w:tr>
      <w:tr>
        <w:trPr>
          <w:trHeight w:val="170"/>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60"/>
        </w:trPr>
        <w:tc>
          <w:tcPr>
            <w:tcW w:w="8240" w:type="dxa"/>
            <w:vAlign w:val="bottom"/>
          </w:tcPr>
          <w:p>
            <w:pPr>
              <w:ind w:left="20"/>
              <w:spacing w:after="0"/>
              <w:rPr>
                <w:sz w:val="20"/>
                <w:szCs w:val="20"/>
                <w:color w:val="auto"/>
              </w:rPr>
            </w:pPr>
            <w:r>
              <w:rPr>
                <w:rFonts w:ascii="Arial" w:cs="Arial" w:eastAsia="Arial" w:hAnsi="Arial"/>
                <w:sz w:val="13"/>
                <w:szCs w:val="13"/>
                <w:color w:val="auto"/>
              </w:rPr>
              <w:t>Proceeds from the sale/maturity/prepayment of:</w:t>
            </w: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9"/>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76"/>
        </w:trPr>
        <w:tc>
          <w:tcPr>
            <w:tcW w:w="8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Investments in loans and securities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25,985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27,313</w:t>
            </w:r>
          </w:p>
        </w:tc>
      </w:tr>
      <w:tr>
        <w:trPr>
          <w:trHeight w:val="168"/>
        </w:trPr>
        <w:tc>
          <w:tcPr>
            <w:tcW w:w="8240" w:type="dxa"/>
            <w:vAlign w:val="bottom"/>
          </w:tcPr>
          <w:p>
            <w:pPr>
              <w:ind w:left="140"/>
              <w:spacing w:after="0"/>
              <w:rPr>
                <w:sz w:val="20"/>
                <w:szCs w:val="20"/>
                <w:color w:val="auto"/>
              </w:rPr>
            </w:pPr>
            <w:r>
              <w:rPr>
                <w:rFonts w:ascii="Arial" w:cs="Arial" w:eastAsia="Arial" w:hAnsi="Arial"/>
                <w:sz w:val="13"/>
                <w:szCs w:val="13"/>
                <w:color w:val="auto"/>
              </w:rPr>
              <w:t>Short-term deposits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5,020</w:t>
            </w:r>
          </w:p>
        </w:tc>
      </w:tr>
      <w:tr>
        <w:trPr>
          <w:trHeight w:val="177"/>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Equity method and other investments</w:t>
            </w:r>
          </w:p>
        </w:tc>
        <w:tc>
          <w:tcPr>
            <w:tcW w:w="8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240" w:type="dxa"/>
            <w:vAlign w:val="bottom"/>
          </w:tcPr>
          <w:p>
            <w:pPr>
              <w:ind w:left="20"/>
              <w:spacing w:after="0"/>
              <w:rPr>
                <w:sz w:val="20"/>
                <w:szCs w:val="20"/>
                <w:color w:val="auto"/>
              </w:rPr>
            </w:pPr>
            <w:r>
              <w:rPr>
                <w:rFonts w:ascii="Arial" w:cs="Arial" w:eastAsia="Arial" w:hAnsi="Arial"/>
                <w:sz w:val="13"/>
                <w:szCs w:val="13"/>
                <w:color w:val="auto"/>
              </w:rPr>
              <w:t>Cash and restricted cash acquired from Darwin Homes, Inc.</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1,608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for the purchase of:</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60"/>
        </w:trPr>
        <w:tc>
          <w:tcPr>
            <w:tcW w:w="8240" w:type="dxa"/>
            <w:vAlign w:val="bottom"/>
          </w:tcPr>
          <w:p>
            <w:pPr>
              <w:ind w:left="140"/>
              <w:spacing w:after="0"/>
              <w:rPr>
                <w:sz w:val="20"/>
                <w:szCs w:val="20"/>
                <w:color w:val="auto"/>
              </w:rPr>
            </w:pPr>
            <w:r>
              <w:rPr>
                <w:rFonts w:ascii="Arial" w:cs="Arial" w:eastAsia="Arial" w:hAnsi="Arial"/>
                <w:sz w:val="13"/>
                <w:szCs w:val="13"/>
                <w:color w:val="auto"/>
              </w:rPr>
              <w:t>Investments in loans and securities</w:t>
            </w:r>
          </w:p>
        </w:tc>
        <w:tc>
          <w:tcPr>
            <w:tcW w:w="8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(121,732)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(73,991)</w:t>
            </w:r>
          </w:p>
        </w:tc>
      </w:tr>
      <w:tr>
        <w:trPr>
          <w:trHeight w:val="29"/>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76"/>
        </w:trPr>
        <w:tc>
          <w:tcPr>
            <w:tcW w:w="8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Property and equipment</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(1,513)</w:t>
            </w:r>
          </w:p>
        </w:tc>
      </w:tr>
      <w:tr>
        <w:trPr>
          <w:trHeight w:val="16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Equity method and other investments</w:t>
            </w: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(747)</w:t>
            </w:r>
          </w:p>
        </w:tc>
      </w:tr>
      <w:tr>
        <w:trPr>
          <w:trHeight w:val="169"/>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cash used in investing activities</w:t>
            </w:r>
          </w:p>
        </w:tc>
        <w:tc>
          <w:tcPr>
            <w:tcW w:w="8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(99,665)</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(43,918)</w:t>
            </w:r>
          </w:p>
        </w:tc>
      </w:tr>
      <w:tr>
        <w:trPr>
          <w:trHeight w:val="170"/>
        </w:trPr>
        <w:tc>
          <w:tcPr>
            <w:tcW w:w="824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1"/>
        </w:trPr>
        <w:tc>
          <w:tcPr>
            <w:tcW w:w="8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secured borrowing</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82,031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53,337</w:t>
            </w:r>
          </w:p>
        </w:tc>
      </w:tr>
      <w:tr>
        <w:trPr>
          <w:trHeight w:val="160"/>
        </w:trPr>
        <w:tc>
          <w:tcPr>
            <w:tcW w:w="8240" w:type="dxa"/>
            <w:vAlign w:val="bottom"/>
          </w:tcPr>
          <w:p>
            <w:pPr>
              <w:ind w:left="140"/>
              <w:spacing w:after="0"/>
              <w:rPr>
                <w:sz w:val="20"/>
                <w:szCs w:val="20"/>
                <w:color w:val="auto"/>
              </w:rPr>
            </w:pPr>
            <w:r>
              <w:rPr>
                <w:rFonts w:ascii="Arial" w:cs="Arial" w:eastAsia="Arial" w:hAnsi="Arial"/>
                <w:sz w:val="13"/>
                <w:szCs w:val="13"/>
                <w:color w:val="auto"/>
              </w:rPr>
              <w:t>Proceeds received from noncontrolling interests</w:t>
            </w:r>
          </w:p>
        </w:tc>
        <w:tc>
          <w:tcPr>
            <w:tcW w:w="8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10,128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8,547</w:t>
            </w:r>
          </w:p>
        </w:tc>
      </w:tr>
      <w:tr>
        <w:trPr>
          <w:trHeight w:val="29"/>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75"/>
        </w:trPr>
        <w:tc>
          <w:tcPr>
            <w:tcW w:w="8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revolving credit facility</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240" w:type="dxa"/>
            <w:vAlign w:val="bottom"/>
          </w:tcPr>
          <w:p>
            <w:pPr>
              <w:ind w:left="140"/>
              <w:spacing w:after="0"/>
              <w:rPr>
                <w:sz w:val="20"/>
                <w:szCs w:val="20"/>
                <w:color w:val="auto"/>
              </w:rPr>
            </w:pPr>
            <w:r>
              <w:rPr>
                <w:rFonts w:ascii="Arial" w:cs="Arial" w:eastAsia="Arial" w:hAnsi="Arial"/>
                <w:sz w:val="13"/>
                <w:szCs w:val="13"/>
                <w:color w:val="auto"/>
              </w:rPr>
              <w:t>Proceeds from exercise of stock options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484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208</w:t>
            </w:r>
          </w:p>
        </w:tc>
      </w:tr>
      <w:tr>
        <w:trPr>
          <w:trHeight w:val="177"/>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Distributions made to noncontrolling interests</w:t>
            </w:r>
          </w:p>
        </w:tc>
        <w:tc>
          <w:tcPr>
            <w:tcW w:w="8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(12,194)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(29,658)</w:t>
            </w:r>
          </w:p>
        </w:tc>
      </w:tr>
      <w:tr>
        <w:trPr>
          <w:trHeight w:val="168"/>
        </w:trPr>
        <w:tc>
          <w:tcPr>
            <w:tcW w:w="8240" w:type="dxa"/>
            <w:vAlign w:val="bottom"/>
          </w:tcPr>
          <w:p>
            <w:pPr>
              <w:ind w:left="140"/>
              <w:spacing w:after="0"/>
              <w:rPr>
                <w:sz w:val="20"/>
                <w:szCs w:val="20"/>
                <w:color w:val="auto"/>
              </w:rPr>
            </w:pPr>
            <w:r>
              <w:rPr>
                <w:rFonts w:ascii="Arial" w:cs="Arial" w:eastAsia="Arial" w:hAnsi="Arial"/>
                <w:sz w:val="13"/>
                <w:szCs w:val="13"/>
                <w:color w:val="auto"/>
              </w:rPr>
              <w:t>Distributions made to revolving credit facility</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(20,000)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Distributions made to secured borrowing</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(57,425)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(1,860)</w:t>
            </w:r>
          </w:p>
        </w:tc>
      </w:tr>
      <w:tr>
        <w:trPr>
          <w:trHeight w:val="18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Payments for deferred offering costs</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(1,532)</w:t>
            </w:r>
          </w:p>
        </w:tc>
      </w:tr>
      <w:tr>
        <w:trPr>
          <w:trHeight w:val="175"/>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cash provided by financing activities</w:t>
            </w:r>
          </w:p>
        </w:tc>
        <w:tc>
          <w:tcPr>
            <w:tcW w:w="8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103,024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29,042</w:t>
            </w:r>
          </w:p>
        </w:tc>
      </w:tr>
      <w:tr>
        <w:trPr>
          <w:trHeight w:val="161"/>
        </w:trPr>
        <w:tc>
          <w:tcPr>
            <w:tcW w:w="8240" w:type="dxa"/>
            <w:vAlign w:val="bottom"/>
          </w:tcPr>
          <w:p>
            <w:pPr>
              <w:ind w:left="20"/>
              <w:spacing w:after="0"/>
              <w:rPr>
                <w:sz w:val="20"/>
                <w:szCs w:val="20"/>
                <w:color w:val="auto"/>
              </w:rPr>
            </w:pPr>
            <w:r>
              <w:rPr>
                <w:rFonts w:ascii="Arial" w:cs="Arial" w:eastAsia="Arial" w:hAnsi="Arial"/>
                <w:sz w:val="13"/>
                <w:szCs w:val="13"/>
                <w:color w:val="auto"/>
              </w:rPr>
              <w:t>Net increase in cash, cash equivalents and restricted cash</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(20,314)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(17,699)</w:t>
            </w:r>
          </w:p>
        </w:tc>
      </w:tr>
      <w:tr>
        <w:trPr>
          <w:trHeight w:val="197"/>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beginning of period</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337,076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204,575</w:t>
            </w:r>
          </w:p>
        </w:tc>
      </w:tr>
      <w:tr>
        <w:trPr>
          <w:trHeight w:val="169"/>
        </w:trPr>
        <w:tc>
          <w:tcPr>
            <w:tcW w:w="8240" w:type="dxa"/>
            <w:vAlign w:val="bottom"/>
          </w:tcPr>
          <w:p>
            <w:pPr>
              <w:ind w:left="20"/>
              <w:spacing w:after="0"/>
              <w:rPr>
                <w:sz w:val="20"/>
                <w:szCs w:val="20"/>
                <w:color w:val="auto"/>
              </w:rPr>
            </w:pPr>
            <w:r>
              <w:rPr>
                <w:rFonts w:ascii="Arial" w:cs="Arial" w:eastAsia="Arial" w:hAnsi="Arial"/>
                <w:sz w:val="13"/>
                <w:szCs w:val="13"/>
                <w:b w:val="1"/>
                <w:bCs w:val="1"/>
                <w:color w:val="auto"/>
              </w:rPr>
              <w:t>Cash, cash equivalents and restricted cash, end of period</w:t>
            </w:r>
          </w:p>
        </w:tc>
        <w:tc>
          <w:tcPr>
            <w:tcW w:w="880" w:type="dxa"/>
            <w:vAlign w:val="bottom"/>
            <w:tcBorders>
              <w:bottom w:val="single" w:sz="8" w:color="auto"/>
            </w:tcBorders>
          </w:tcPr>
          <w:p>
            <w:pPr>
              <w:jc w:val="right"/>
              <w:ind w:right="73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316,762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186,876</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8"/>
        </w:trPr>
        <w:tc>
          <w:tcPr>
            <w:tcW w:w="8240" w:type="dxa"/>
            <w:vAlign w:val="bottom"/>
            <w:shd w:val="clear" w:color="auto" w:fill="CCEEFF"/>
          </w:tcPr>
          <w:p>
            <w:pPr>
              <w:ind w:left="20"/>
              <w:spacing w:after="0" w:line="89" w:lineRule="exact"/>
              <w:rPr>
                <w:sz w:val="20"/>
                <w:szCs w:val="20"/>
                <w:color w:val="auto"/>
              </w:rPr>
            </w:pPr>
            <w:r>
              <w:rPr>
                <w:rFonts w:ascii="Arial" w:cs="Arial" w:eastAsia="Arial" w:hAnsi="Arial"/>
                <w:sz w:val="10"/>
                <w:szCs w:val="10"/>
                <w:b w:val="1"/>
                <w:bCs w:val="1"/>
                <w:color w:val="auto"/>
              </w:rPr>
              <w:t>Reconciliation of cash, cash equivalents, and restricted cash within the consolidated statements of financial position to the amounts shown in the</w:t>
            </w:r>
          </w:p>
        </w:tc>
        <w:tc>
          <w:tcPr>
            <w:tcW w:w="8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169"/>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statements of cash flow above:</w:t>
            </w:r>
          </w:p>
        </w:tc>
        <w:tc>
          <w:tcPr>
            <w:tcW w:w="8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r>
      <w:tr>
        <w:trPr>
          <w:trHeight w:val="168"/>
        </w:trPr>
        <w:tc>
          <w:tcPr>
            <w:tcW w:w="8240" w:type="dxa"/>
            <w:vAlign w:val="bottom"/>
          </w:tcPr>
          <w:p>
            <w:pPr>
              <w:ind w:left="240"/>
              <w:spacing w:after="0"/>
              <w:rPr>
                <w:sz w:val="20"/>
                <w:szCs w:val="20"/>
                <w:color w:val="auto"/>
              </w:rPr>
            </w:pPr>
            <w:r>
              <w:rPr>
                <w:rFonts w:ascii="Arial" w:cs="Arial" w:eastAsia="Arial" w:hAnsi="Arial"/>
                <w:sz w:val="13"/>
                <w:szCs w:val="13"/>
                <w:color w:val="auto"/>
              </w:rPr>
              <w:t>Cash and cash equivalents</w:t>
            </w:r>
          </w:p>
        </w:tc>
        <w:tc>
          <w:tcPr>
            <w:tcW w:w="880" w:type="dxa"/>
            <w:vAlign w:val="bottom"/>
          </w:tcPr>
          <w:p>
            <w:pPr>
              <w:jc w:val="right"/>
              <w:ind w:right="73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289,387</w:t>
            </w:r>
          </w:p>
        </w:tc>
        <w:tc>
          <w:tcPr>
            <w:tcW w:w="34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183,504</w:t>
            </w:r>
          </w:p>
        </w:tc>
      </w:tr>
      <w:tr>
        <w:trPr>
          <w:trHeight w:val="183"/>
        </w:trPr>
        <w:tc>
          <w:tcPr>
            <w:tcW w:w="82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Restricted cash - current</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22,542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8240" w:type="dxa"/>
            <w:vAlign w:val="bottom"/>
          </w:tcPr>
          <w:p>
            <w:pPr>
              <w:ind w:left="240"/>
              <w:spacing w:after="0"/>
              <w:rPr>
                <w:sz w:val="20"/>
                <w:szCs w:val="20"/>
                <w:color w:val="auto"/>
              </w:rPr>
            </w:pPr>
            <w:r>
              <w:rPr>
                <w:rFonts w:ascii="Arial" w:cs="Arial" w:eastAsia="Arial" w:hAnsi="Arial"/>
                <w:sz w:val="13"/>
                <w:szCs w:val="13"/>
                <w:color w:val="auto"/>
              </w:rPr>
              <w:t>Restricted cash - non-current</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4,833</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3,372</w:t>
            </w:r>
          </w:p>
        </w:tc>
      </w:tr>
      <w:tr>
        <w:trPr>
          <w:trHeight w:val="203"/>
        </w:trPr>
        <w:tc>
          <w:tcPr>
            <w:tcW w:w="82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Total cash, cash equivalents, and restricted cash</w:t>
            </w:r>
          </w:p>
        </w:tc>
        <w:tc>
          <w:tcPr>
            <w:tcW w:w="880" w:type="dxa"/>
            <w:vAlign w:val="bottom"/>
            <w:shd w:val="clear" w:color="auto" w:fill="CCEEFF"/>
          </w:tcPr>
          <w:p>
            <w:pPr>
              <w:jc w:val="right"/>
              <w:ind w:right="73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316,762</w:t>
            </w:r>
          </w:p>
        </w:tc>
        <w:tc>
          <w:tcPr>
            <w:tcW w:w="3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186,876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-5802630</wp:posOffset>
            </wp:positionV>
            <wp:extent cx="5229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29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408" w:right="339" w:bottom="1440" w:gutter="0" w:footer="0" w:header="0"/>
        </w:sectPr>
      </w:pPr>
    </w:p>
    <w:bookmarkStart w:id="18" w:name="page19"/>
    <w:bookmarkEnd w:id="18"/>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PAGAYA’S 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CONDITION AND RESULTS OF OPERATIONS</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the unaudited condensed consolidated interim financial statements as of and for the three months ended March 31, 2023 and 2022 included as Exhibit 99.2 to the Report of Foreign Private Issuer on Form 6-K furnished with the Securities and Exchange Commission (the “SEC”) on May 16, 2023 and the historical audited annual consolidated financial statements as of and for the years ended December 31, 2022 and 2021, and the related notes included in our Annual Report on Form 20-F filed with the SEC on April 20, 2023 (“our Annual Report on Form 20-F”). Some of the information contained in this discussion and analysis, including information with respect to our plans and strategy for our business and related financing, includes forward-looking statements that involve risks and uncertainties. As a result of many factors, including those factors set forth in the “Risk Factors” section of our Annual Report on Form 20-F, our actual results could differ materially from the results described in or implied by the forward-looking statements contained in the following discussion and analysis. In this section “we,” “us,” “our” and “Pagaya” refer to Pagaya Technologies Ltd.</w:t>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Company Overview</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Pagaya makes life-changing financial products and services available to more people.</w:t>
      </w:r>
    </w:p>
    <w:p>
      <w:pPr>
        <w:spacing w:after="0" w:line="154"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We have built, and we are continuing to scale, a leading AI and data network for the benefit of financial services and other service providers, their customers, and investors. Services providers integrated in our network, which we refer to as our ‘‘Partners,’’ range from high-growth financial technology companies to incumbent banks and financial institutions. Partners benefit from our network to extend financial products to their customers, in turn helping those customers fulfill their financial needs. These assets originated by Partners with the assistance of Pagaya’s AI technology are eligible to be acquired by Financing Vehicles.</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recent years, investments in digitization have improved the front-end delivery of financial products, upgrading customer experience and convenience. Notwithstanding these advances, we believe underlying approaches to the determination of creditworthiness for financial products are often outdated and overly manual. In our experience, providers of financial services tend to utilize a limited number of factors to make decisions, operate with siloed technology infrastructure and have data limited to their own experience. As a result, we believe financial services providers approve a smaller proportion of their application volume than is possible with the benefit of modern technology, such as our AI technology and data network.</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At our core, we are a technology company that deploys sophisticated data science, machine learning and AI technology to drive better results across the financial ecosystem. We believe our solution drives a “win-win-win” for Partners, their customers and potential customers, and investors. First, by utilizing our network, Partners receive direct benefits from our network by approving a greater share of customer applications, which we believe drives superior revenue growth, enhanced brand affinity, opportunities to promote other financial products and decreased unit-level customer acquisition costs. Partners realize these benefits with limited incremental risk or funding requirements. Second, Partners’ customers benefit from enhanced and more convenient access to financial products. Third, investors benefit through gaining exposure to these assets originated by Partners with the assistance of our AI technology and acquired by the Financing Vehicles through our network.</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Recent Developments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Darwin Homes, Inc.</w:t>
      </w:r>
    </w:p>
    <w:p>
      <w:pPr>
        <w:spacing w:after="0" w:line="252"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On January 5, 2023, we consummated a business combination pursuant to the certain Merger Agreement (the “Darwin Merger Agreement”), dated as of November 15, 2022, by and among Pagaya, Darwin Homes, Inc., a Delaware corporation (“Darwin”), DH Merger Sub Inc., a Delaware corporation and a direct, wholly owned subsidiary of Pagaya (“Darwin Merger Sub”), and Shareholder Representative Services LLC, a Colorado limited liability company, acting solely in its capacity as the representative,</w:t>
      </w:r>
    </w:p>
    <w:p>
      <w:pPr>
        <w:spacing w:after="0" w:line="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agent and attorney-in-fact of the stockholders of Darwin. On January 5, 2023, the following transactions occurred pursuant to the terms and conditions of the Darwin Merger Agreement:</w:t>
      </w:r>
    </w:p>
    <w:p>
      <w:pPr>
        <w:spacing w:after="0" w:line="173" w:lineRule="exact"/>
        <w:rPr>
          <w:sz w:val="20"/>
          <w:szCs w:val="20"/>
          <w:color w:val="auto"/>
        </w:rPr>
      </w:pPr>
    </w:p>
    <w:p>
      <w:pPr>
        <w:jc w:val="both"/>
        <w:ind w:left="660" w:hanging="328"/>
        <w:spacing w:after="0" w:line="269"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the effective time of the merger (the “Darwin Effective Time”), Darwin Merger Sub merged with and into Darwin (the “Darwin Merger”), with Darwin continuing as the surviving company after the Darwin Merger (“Darwin Surviving Company”), and, as a result of the Darwin Merger, the Darwin Surviving Company became a direct, wholly owned subsidiary of Pagaya;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440" w:right="339" w:bottom="1440" w:gutter="0" w:footer="0" w:header="0"/>
        </w:sectPr>
      </w:pPr>
    </w:p>
    <w:bookmarkStart w:id="19" w:name="page20"/>
    <w:bookmarkEnd w:id="19"/>
    <w:p>
      <w:pPr>
        <w:jc w:val="both"/>
        <w:ind w:left="660" w:hanging="328"/>
        <w:spacing w:after="0" w:line="279"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at the Darwin Effective Time, preferred shares of Darwin’s capital stock (“Darwin Shares”) issued and outstanding prior to the Darwin Effective Time (other than any Darwin Shares that were (i) subject to options or warrants, (ii) held in Darwin’s treasury or owned by Pagaya, Darwin Merger Sub or Darwin immediately prior to the Darwin Effective Time or (iii) held by the equityholders of Darwin (the “Darwin Equityholders”) who perfected and did not withdraw a demand for appraisal rights pursuant to the applicable provisions of Delaware General Corporation Law), were cancelled and automatically converted into the right to receive Pagaya’s Class A Ordinary Shares, no par value (the “Class A Ordinary Shares”) such that, following the Darwin Effective Time, Pagaya issued approximately 18.2 million Class A Ordinary Shares and may issue an additional approximately 180,000 Class A Ordinary Shares to the Darwin Equityholders.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Reduction in Workforce</w:t>
      </w:r>
    </w:p>
    <w:p>
      <w:pPr>
        <w:spacing w:after="0" w:line="26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January 18, 2023, we announced a reduction in workforce of approximately 20% of employees across our Israel and U.S. offices, as compared to our headcount as of December 31, 2022. This reduction in workforce is expected to enable us to streamline our operations in the current market environment to achieve our near-to-medium term growth priorities. The affected employees were notified on or before January 17, 2023, and all actions associated with the reduction were substantially completed in the first quarter of 2023.</w:t>
      </w:r>
    </w:p>
    <w:p>
      <w:pPr>
        <w:spacing w:after="0" w:line="209"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 xml:space="preserve">We expect that this reduction in workforce will result in approximately $30 million of annualized cost savings. We incurred a severance-related charge of approximately $4 million, consisting primarily of one-time separation payments, in the first quarter of 2023. We may also incur other charges, costs or cash expenditures not currently contemplated due to events that may occur as a result of, or associated with, the reduction in workforce. See </w:t>
      </w:r>
      <w:r>
        <w:rPr>
          <w:rFonts w:ascii="Arial" w:cs="Arial" w:eastAsia="Arial" w:hAnsi="Arial"/>
          <w:sz w:val="14"/>
          <w:szCs w:val="14"/>
          <w:i w:val="1"/>
          <w:iCs w:val="1"/>
          <w:color w:val="auto"/>
        </w:rPr>
        <w:t>“Item 3.D.—Risk Factors—Our recent reduction in workforce,</w:t>
      </w:r>
    </w:p>
    <w:p>
      <w:pPr>
        <w:spacing w:after="0" w:line="1" w:lineRule="exact"/>
        <w:rPr>
          <w:sz w:val="20"/>
          <w:szCs w:val="20"/>
          <w:color w:val="auto"/>
        </w:rPr>
      </w:pPr>
    </w:p>
    <w:p>
      <w:pPr>
        <w:spacing w:after="0" w:line="275" w:lineRule="auto"/>
        <w:rPr>
          <w:sz w:val="20"/>
          <w:szCs w:val="20"/>
          <w:color w:val="auto"/>
        </w:rPr>
      </w:pPr>
      <w:r>
        <w:rPr>
          <w:rFonts w:ascii="Arial" w:cs="Arial" w:eastAsia="Arial" w:hAnsi="Arial"/>
          <w:sz w:val="16"/>
          <w:szCs w:val="16"/>
          <w:i w:val="1"/>
          <w:iCs w:val="1"/>
          <w:color w:val="auto"/>
        </w:rPr>
        <w:t xml:space="preserve">announced on January 18, 2023, may not result in anticipated savings or operational efficiencies, could result in total costs and expenses that are greater than expected, and could disrupt our business” </w:t>
      </w:r>
      <w:r>
        <w:rPr>
          <w:rFonts w:ascii="Arial" w:cs="Arial" w:eastAsia="Arial" w:hAnsi="Arial"/>
          <w:sz w:val="16"/>
          <w:szCs w:val="16"/>
          <w:color w:val="auto"/>
        </w:rPr>
        <w:t>in our Annual Report on Form 20-F.</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Amended Letter Agreement</w:t>
      </w:r>
    </w:p>
    <w:p>
      <w:pPr>
        <w:spacing w:after="0" w:line="26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Pursuant to the Letter Agreement, dated June 1, 2020, we agreed to provide Radiance Star Pte. Ltd. (“Radiance”), an affiliate of GIC Private Limited, the right to purchase up to a certain amount of qualified securities in certain offerings by us and to provide Radiance with notice of any fund offerings or securitization offerings. On March 19, 2023, we and Radiance agreed to extend the term of the Letter Agreement by three years (the “Amended Letter Agreement”) to June 1, 2028 on the same terms and amount, including the issuance of 2,640,000 warrants to purchase the Class A Ordinary Shares at an exercise price of $0.01 that vest annually if certain investment thresholds by Radiance are met. There were no other material changes to the existing terms of the Letter Agreement.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Series A Preferred Share Purchase Agreement</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On April 14, 2023 we entered into a Preferred Share Purchase Agreement (the “Purchase Agreement”) with Oak HC/FT Partners V, L.P., Oak HC/FT Partners V-A, L.P. and Oak HC/FT Partners V-B, L.P (together, the “Investor”) pursuant to which we agreed, subject to Shareholder Approval (as defined below), to issue and sell to the Investor an aggregate of 60,000,000 Series A Preferred Shares, no par value (the “Series A Preferred Shares”), at a price of $1.25 per share (subject to applicable adjustment as provided in the A&amp;R Articles), for an aggregate purchase price of $75 million (the “Transaction”). Subject to shareholder approval of certain Amended and Restated Articles of Association of Pagaya (the “A&amp;R Articles”), the Series A Preferred Shares will have the rights and preferences set forth in the A&amp;R Articles. Pursuant to the A&amp;R Articles, there are 80,000,000 authorized Series A Preferred Shares and we may issue and sell the balance of the authorized but unissued Series A Preferred Shares from time to time in the future.</w:t>
      </w: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Investor is affiliated with Oak HC/FT Partners II, L.P. (“Oak”), an entity that holds approximately 12% of the Class A Ordinary Shares and approximately 3% of the voting power of Pagaya as of the date of the Purchase Agreement. Mr. Dan Petrozzo, a member of our board of directors (“Pagaya Board”) and the Audit Committee of the Pagaya Board, is a partner at Oak. Following their review of applicable considerations pursuant to our policies and applicable Israeli law, the disinterested members of the Audit Committee and of the Pagaya Board approved the Purchase Agreement and the exhibits, schedules and ancillary documents thereto, and the Pagaya Board recommended to our shareholders to adopt the A&amp;R Articles and approve the Transaction and the matters contemplated thereby.</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Pursuant to the Purchase Agreement, we agreed to use commercially reasonable efforts to hold a meeting of shareholders (the “Shareholder Meeting”) as promptly as reasonably practicable to obtain shareholder approval, including approval of the adoption of the A&amp;R Articles as required by applicable Israeli law. On May 3, 2023, we published a notice and proxy statement of a special general meeting of shareholders scheduled to take place on May 24, 2023, at which such shareholder approval is being sought. The closing of the Transaction is subject to, among other things, us obtaining shareholder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26" w:right="339" w:bottom="1440" w:gutter="0" w:footer="0" w:header="0"/>
        </w:sectPr>
      </w:pPr>
    </w:p>
    <w:bookmarkStart w:id="20" w:name="page21"/>
    <w:bookmarkEnd w:id="20"/>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connection with the execution of the Purchase Agreement, Gal Krubiner, Avital Pardo and Yahav Yulzari, our three founders, entered into a voting agreement (the “Voting Agreement”) with us, pursuant to which the founders agreed to vote at a meeting of the shareholders (i) in favor of (a) the adoption of the A&amp;R Articles and (b) any other matter reasonably necessary to the consummation of the Transaction and considered and voted upon by our shareholders, and (ii) against any action, proposal, transaction or agreement that could reasonably be expected to impede, interfere with, delay, discourage, adversely affect or inhibit the timely consummation of the Transaction.</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foregoing does not purport to be a complete description of the rights and obligations of the parties to the Purchase Agreement and is qualified in its entirety by reference to the Purchase Agreement, a copy of which is attached as Exhibit 4.17 to our Annual Report on Form 20-F. The foregoing description of the terms pertaining to the Series A Preferred Shares is not complete and is qualified in its entirety by reference to the A&amp;R Articles, a copy of which is attached as an exhibit to the Purchase Agreement. The foregoing description of the Voting Agreement is not complete and is qualified in its entirety by reference to the Voting Agreement, a copy of which is attached as Exhibit 4.18 to our Annual Report on Form 20-F. Also, see Form 6-K filed with the SEC on April 20, 2023.</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Emerging Growth Company Status</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qualify as an “emerging growth company,” as defined in Section 2(a) of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will remain an emerging growth company until the earlier of: (i) the last day of the fiscal year (a) following the fifth anniversary of June 22, 2022, (b) in which we have an annual total gross revenue of at least $1.235 billion, or (c) in which we are deemed to be a large accelerated filer, which means the market value of our ordinary equity that is held by non-affiliates exceeds $700 million as of the last business day of the second fiscal quarter of such fiscal year; and (ii) the date on which we have issued more than $1 billion in non-convertible debt securities during the prior three-year period. References herein to “emerging growth company” have the meaning associated with it in the JOBS Act.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Foreign Private Issuer Exemptions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report as a “foreign private issuer” under U.S. Securities and Exchange Commission rules. Consequently, we are subject to the reporting requirements under the Exchange Act applicable to foreign private issuers. As a result, we are not required to file our annual report on Form 20-F until 120 days after the end of each fiscal year and we will furnish reports on Form 6-K to the SEC regarding certain information required to be publicly disclosed by us in Israel or that is distributed or required to be distributed by us to our shareholders. Based on our foreign private issuer status, we will not be required to (i) file periodic reports and financial statements with the SEC as frequently or as promptly as a U.S. company whose securities are registered under the Exchange Act, (ii) comply with Regulation FD, which addresses certain restrictions on the selective disclosure of material information or (iii) comply with SEC rules relating to proxy solicitation in connection with shareholder meetings and presentation of shareholder proposals. In addition, among other matters, based on our foreign private issuer status, our officers, directors and principal shareholders will be exempt from the reporting and “short-swing” profit recovery provisions of Section 16 of the Exchange Act and the rules under the Exchange Act with respect to their purchases and sales of the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40"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b w:val="1"/>
          <w:bCs w:val="1"/>
          <w:color w:val="auto"/>
        </w:rPr>
        <w:t>Our Economic Model</w:t>
      </w:r>
    </w:p>
    <w:p>
      <w:pPr>
        <w:spacing w:after="0" w:line="239" w:lineRule="exact"/>
        <w:rPr>
          <w:sz w:val="20"/>
          <w:szCs w:val="20"/>
          <w:color w:val="auto"/>
        </w:rPr>
      </w:pPr>
    </w:p>
    <w:p>
      <w:pPr>
        <w:jc w:val="both"/>
        <w:spacing w:after="0" w:line="214" w:lineRule="auto"/>
        <w:rPr>
          <w:sz w:val="20"/>
          <w:szCs w:val="20"/>
          <w:color w:val="auto"/>
        </w:rPr>
      </w:pPr>
      <w:r>
        <w:rPr>
          <w:rFonts w:ascii="Arial" w:cs="Arial" w:eastAsia="Arial" w:hAnsi="Arial"/>
          <w:sz w:val="16"/>
          <w:szCs w:val="16"/>
          <w:color w:val="auto"/>
        </w:rPr>
        <w:t>Pagaya’s revenues are primarily derived from Network Volume. Network Volume represents the assets that our Partners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originate with the assistance of our artificial intelligence (“AI”) technology and are acquired by Financing Vehicles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through our network. We source capital from investors who invest in Financing Vehicles. We generate revenue from network AI fees, contract fees, interest income and investment income. Revenue from fees is comprised of network AI fees and contract fees. Network AI fees can be further broken down into two fee streams: AI integration fees and capital markets execution fees.</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We earn AI integration fees from our Partners in our Financing Vehicles for the creation, sourcing and delivery of the assets that comprise our Network Volume.</w:t>
      </w:r>
    </w:p>
    <w:p>
      <w:pPr>
        <w:spacing w:after="0" w:line="27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Capital markets execution and contract fees are earned from investors in our Financing Vehicles. Multiple funding channels are utilized to enable the purchase of network assets from our Partners, such as asset backed securitizations (“ABS”). Capital markets execution fees are earned from the market pricing of ABS transactions while contract fees are management, performance and other fees earned for administering these vehicles.</w:t>
      </w:r>
    </w:p>
    <w:p>
      <w:pPr>
        <w:spacing w:after="0" w:line="1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Additionally, we earn interest income from our risk retention holdings and our corporate cash balances and investment income associated with our ownership interests in certain Financing Vehicles and other proprietary investments.</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incur costs when Network Volume is acquired by the Financing Vehicles. These costs, which we refer to as ‘‘Production Costs,’’ compensate our Partners for acquiring and originating assets. Accordingly, the amount and growth of our Production Costs are highly correlated to Network Volume.</w:t>
      </w:r>
    </w:p>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Additionally, we have built what we believe to be a leading data science and AI organization that has enabled us to assist our Partners as they make decisions to extend credit to consumers or for the identification and purchase of single-family residential properties. Headcount, technology overhead and research and development expenses represent the significant portion of our expenses outside of Production Costs.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Key Factors Affecting Our Performance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Expanded Usage of Our Network by Our Existing Partners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AI technology enables certain Partners to convert a larger proportion of their application volume into originated loans, enabling them to expand their ecosystem and generate incremental revenues. Our Partners have historically seen rapid scaling of origination volume on our network shortly after onboarding and the contribution of Pagaya’s network to Partners’ total origination volume tends to increase over time. On average, Partners have seen approximately 3 times growth in originations that are enabled by our network between the 3rd and 12th month of onboarding. We are proud of the fact that we have retained 100% of Partners since our inception in 2016, a demonstration of the strength of our value proposition.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Adoption of Our Network by Partners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We devote significant time to, and have a team that focuses on, recruiting new Partners to our network. We believe that our success in adding new Partners to our network is driven by our distinctive value proposition: driving significant revenue uplift to our Partners at limited incremental cost or credit risk to the Partner. Our success adding new Partners has contributed to our overall Network Volume growth and driven our ability to rapidly scale new asset classes. In 2022, we onboarded 6 new Partners, including Klarna and Ally Financial. Approximately $650 million of Network Volume was generated by new Partners and channels on our network in the full-year 2022. Partners and channels added in 2022 contributed approximately 20% of total Network Volume in the first quarter of 2023.</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Continued Improvements to Our AI Technology</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believe our historical growth has been significantly influenced by improvements to our AI technology, which are in turn driven both by the deepening of our proprietary data network and the strengthening of our AI technology. As our existing Partners grow their usage of our network, new Partners join our network, and as we expand our network into new asset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714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6" w:lineRule="exact"/>
        <w:rPr>
          <w:sz w:val="20"/>
          <w:szCs w:val="20"/>
          <w:color w:val="auto"/>
        </w:rPr>
      </w:pPr>
    </w:p>
    <w:p>
      <w:pPr>
        <w:ind w:right="60" w:firstLine="8"/>
        <w:spacing w:after="0" w:line="247" w:lineRule="auto"/>
        <w:tabs>
          <w:tab w:leader="none" w:pos="83" w:val="left"/>
        </w:tabs>
        <w:numPr>
          <w:ilvl w:val="0"/>
          <w:numId w:val="7"/>
        </w:numPr>
        <w:rPr>
          <w:rFonts w:ascii="Arial" w:cs="Arial" w:eastAsia="Arial" w:hAnsi="Arial"/>
          <w:sz w:val="9"/>
          <w:szCs w:val="9"/>
          <w:color w:val="auto"/>
        </w:rPr>
      </w:pPr>
      <w:r>
        <w:rPr>
          <w:rFonts w:ascii="Arial" w:cs="Arial" w:eastAsia="Arial" w:hAnsi="Arial"/>
          <w:sz w:val="14"/>
          <w:szCs w:val="14"/>
          <w:color w:val="auto"/>
        </w:rPr>
        <w:t>“Partners” refers to financial institutions including, among others, banks, peer-to-peer lending networks, online marketplaces, non-bank finance companies, fintechs, financing intermediaries, consumer product companies, brokers, agents and credit unions that have entered into arrangements to utilize Pagaya’s AI technology and network to assist them in creating and originating credit and other assets that may be acquired by a Financing Vehicle.</w:t>
      </w:r>
    </w:p>
    <w:p>
      <w:pPr>
        <w:ind w:right="300"/>
        <w:spacing w:after="0" w:line="255" w:lineRule="auto"/>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“Financing Vehicles” refers to (i) funds managed or advised by Pagaya or one of its affiliates, (ii) securitization vehicles sponsored or administered by Pagaya or one of its affiliates and (iii)</w:t>
      </w:r>
      <w:r>
        <w:rPr>
          <w:rFonts w:ascii="Arial" w:cs="Arial" w:eastAsia="Arial" w:hAnsi="Arial"/>
          <w:sz w:val="9"/>
          <w:szCs w:val="9"/>
          <w:color w:val="auto"/>
        </w:rPr>
        <w:t xml:space="preserve"> </w:t>
      </w:r>
      <w:r>
        <w:rPr>
          <w:rFonts w:ascii="Arial" w:cs="Arial" w:eastAsia="Arial" w:hAnsi="Arial"/>
          <w:sz w:val="14"/>
          <w:szCs w:val="14"/>
          <w:color w:val="auto"/>
        </w:rPr>
        <w:t>other similar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422" w:right="339" w:bottom="1440" w:gutter="0" w:footer="0" w:header="0"/>
        </w:sectPr>
      </w:pPr>
    </w:p>
    <w:bookmarkStart w:id="22" w:name="page23"/>
    <w:bookmarkEnd w:id="22"/>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value of our data asset increases. Our technology improvements thus benefit from a flywheel effect that is characteristic of AI technology, in that improvements are derived from a continually increasing base of training data for our technology. We have found, and we expect to continue to experience, that more data leads to more efficient pricing and greater Network Volume. Since inception, approximately $1.3 trillion in application volume has been evaluated by our network.</w:t>
      </w:r>
    </w:p>
    <w:p>
      <w:pPr>
        <w:spacing w:after="0" w:line="9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addition to the accumulation of data, we make improvements to our technology by leveraging the experience of our research and development specialists. Our research team is central to accelerating the sophistication of our AI technology and expanding into new markets and use cases. We are reliant on these experts’ success in making these improvements to our technology over time.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Availability of Funding from Investors</w:t>
      </w:r>
    </w:p>
    <w:p>
      <w:pPr>
        <w:spacing w:after="0" w:line="266" w:lineRule="exact"/>
        <w:rPr>
          <w:sz w:val="20"/>
          <w:szCs w:val="20"/>
          <w:color w:val="auto"/>
        </w:rPr>
      </w:pPr>
    </w:p>
    <w:p>
      <w:pPr>
        <w:jc w:val="both"/>
        <w:spacing w:after="0" w:line="292" w:lineRule="auto"/>
        <w:rPr>
          <w:sz w:val="20"/>
          <w:szCs w:val="20"/>
          <w:color w:val="auto"/>
        </w:rPr>
      </w:pPr>
      <w:r>
        <w:rPr>
          <w:rFonts w:ascii="Arial" w:cs="Arial" w:eastAsia="Arial" w:hAnsi="Arial"/>
          <w:sz w:val="14"/>
          <w:szCs w:val="14"/>
          <w:color w:val="auto"/>
        </w:rPr>
        <w:t>The availability of funding from investors is critical to our growth, as Financing Vehicles only acquire an asset if funding is available for that specific asset. We continue to seek to diversify funding channels and counterparties as our business grows. Since the beginning of 2019, we have raised approximately $16 billion from investors, but the</w:t>
      </w:r>
    </w:p>
    <w:p>
      <w:pPr>
        <w:jc w:val="both"/>
        <w:spacing w:after="0" w:line="261" w:lineRule="auto"/>
        <w:rPr>
          <w:sz w:val="20"/>
          <w:szCs w:val="20"/>
          <w:color w:val="auto"/>
        </w:rPr>
      </w:pPr>
      <w:r>
        <w:rPr>
          <w:rFonts w:ascii="Arial" w:cs="Arial" w:eastAsia="Arial" w:hAnsi="Arial"/>
          <w:sz w:val="16"/>
          <w:szCs w:val="16"/>
          <w:color w:val="auto"/>
        </w:rPr>
        <w:t>availability of funding is not guaranteed and subject to market conditions. See “</w:t>
      </w:r>
      <w:r>
        <w:rPr>
          <w:rFonts w:ascii="Arial" w:cs="Arial" w:eastAsia="Arial" w:hAnsi="Arial"/>
          <w:sz w:val="16"/>
          <w:szCs w:val="16"/>
          <w:i w:val="1"/>
          <w:iCs w:val="1"/>
          <w:color w:val="auto"/>
        </w:rPr>
        <w:t>Item 3.D.—Risk Factors—Our business, financial condition and results of operations could</w:t>
      </w:r>
      <w:r>
        <w:rPr>
          <w:rFonts w:ascii="Arial" w:cs="Arial" w:eastAsia="Arial" w:hAnsi="Arial"/>
          <w:sz w:val="16"/>
          <w:szCs w:val="16"/>
          <w:color w:val="auto"/>
        </w:rPr>
        <w:t xml:space="preserve"> </w:t>
      </w:r>
      <w:r>
        <w:rPr>
          <w:rFonts w:ascii="Arial" w:cs="Arial" w:eastAsia="Arial" w:hAnsi="Arial"/>
          <w:sz w:val="16"/>
          <w:szCs w:val="16"/>
          <w:i w:val="1"/>
          <w:iCs w:val="1"/>
          <w:color w:val="auto"/>
        </w:rPr>
        <w:t>be adversely affected as a result of an unexpected failure of a vendor, bank or other third party service provider that presents concentration risks to us or our Partners. Our business, financial condition and results of operations could be adversely affected as a result of an unexpected failure of a vendor, bank or other third party service provider that presents concentration risks to us or our Partners</w:t>
      </w:r>
      <w:r>
        <w:rPr>
          <w:rFonts w:ascii="Arial" w:cs="Arial" w:eastAsia="Arial" w:hAnsi="Arial"/>
          <w:sz w:val="16"/>
          <w:szCs w:val="16"/>
          <w:color w:val="auto"/>
        </w:rPr>
        <w:t>” section in our Annual Report on Form 20-F.</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of Assets Originated with the Assistance of Our AI Technology</w:t>
      </w:r>
    </w:p>
    <w:p>
      <w:pPr>
        <w:spacing w:after="0" w:line="212"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The availability of funding from investors is a function of demand for consumer credit and residential real estate assets, as well as the performance of such assets originated with the assistance of our AI technology and purchased by Financing Vehicles. Our AI technology and data-driven insights are designed to enable relative outperformance of assets originated by our Partners versus the broader market. We believe that investors in Financing Vehicles view our AI technology as an important component in delivering assets that meet their investment criteria. To the extent that assets acquired by the Financing Vehicles underperform investors’ expectations, the availability of funding may be adversely affected. See “</w:t>
      </w:r>
      <w:r>
        <w:rPr>
          <w:rFonts w:ascii="Arial" w:cs="Arial" w:eastAsia="Arial" w:hAnsi="Arial"/>
          <w:sz w:val="14"/>
          <w:szCs w:val="14"/>
          <w:i w:val="1"/>
          <w:iCs w:val="1"/>
          <w:color w:val="auto"/>
        </w:rPr>
        <w:t>Item 3.D.—Risk Factors—Risks Related to the Operations of Our Business</w:t>
      </w:r>
      <w:r>
        <w:rPr>
          <w:rFonts w:ascii="Arial" w:cs="Arial" w:eastAsia="Arial" w:hAnsi="Arial"/>
          <w:sz w:val="14"/>
          <w:szCs w:val="14"/>
          <w:color w:val="auto"/>
        </w:rPr>
        <w:t>” section in our Annual Report on Form 20-F.</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Macroeconomic Cycles</w:t>
      </w:r>
    </w:p>
    <w:p>
      <w:pPr>
        <w:spacing w:after="0" w:line="252"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We expect economic cycles to affect our financial performance and related metrics. Macroeconomic conditions, including, but not limited to rising interest rates, inflation, supply chain disruptions, labor shortages, bank failures, U.S. deficit concerns, and the Russian invasion of Ukraine, may impact consumer demand for financial products, our Partners’ ability to generate and convert customer application volume, as well as the availability of funding from our investors through the Financing Vehicles. The recent rise in inflation may increase financing costs and adversely impact the ability of borrowers to service their debt, which could lead to deterioration of the credit performance of loans and impact investor returns, and therefore may result in lower demand from investors for assets generated on our platform and lead to constraints on our ability to fund new Network Volume. In addition, rising inflation may create an escalation in our operating costs, including employee compensation, financing costs, and general corporate expenses, which could reduce our cash flow and operating income. As of the date of this Annual Report, we have not experienced material impacts to our business performance from inflationary pressure. Higher interest rates often lead to higher payment obligations, which may reduce the ability of borrowers to remain current on their obligations and therefore, lead to increased delinquencies, defaults, customer bankruptcies, charge-offs, and decreasing recoveries. Any impact to investor returns may lead to an adverse impact on our earnings. The increased risk-free rate of return may impact investor demand for risk assets such as consumer credit, which may constrain our ability to raise new funding for Network Volume. While our ability to raise new funding has not been materially impacted, the cost of capital has increased due to the higher interest rate environment. We are closely monitoring the invasion of Ukraine by Russia in February 2022 and its global impacts. While the conflict is still unfolding and the outcome remains highly uncertain, we do not believe the Russia-Ukraine conflict will have a material impact on our business and results of operation. However, if the Russia-Ukraine conflict continues or worsens, leading to greater global economic disruptions and uncertainty, our business and results of operations could be materially impacted. Adverse developments that affect financial institutions, transactional counterparties or other third parties, such as bank failures and protracted U.S. federal debt ceiling negotiations, or concerns or speculation about any similar events or risks, could lead to credit downgrades and market-wide liquidity problems, which in turn may cause Partners and their customers and other third parties to become unable to meet their obligations under various types of financial arrangements as well as general disruptions or instability in the financial markets, which may adversely affect our business. A prolonged economic downturn may also adversely affect the performance of assets that Financing Vehicles acquire from our network. At the same time, such events, including the COVID-19 pandemic or the inflationary environment, provide key data that we can utilize to improve our AI technology, and they may also help to validate the outcomes our network drives for both Partners and investors. For a further discussion of uncertainties and other factors that could impact our operating results, see “</w:t>
      </w:r>
      <w:r>
        <w:rPr>
          <w:rFonts w:ascii="Arial" w:cs="Arial" w:eastAsia="Arial" w:hAnsi="Arial"/>
          <w:sz w:val="14"/>
          <w:szCs w:val="14"/>
          <w:i w:val="1"/>
          <w:iCs w:val="1"/>
          <w:color w:val="auto"/>
        </w:rPr>
        <w:t>Item 3.D.—Risk Factors</w:t>
      </w:r>
      <w:r>
        <w:rPr>
          <w:rFonts w:ascii="Arial" w:cs="Arial" w:eastAsia="Arial" w:hAnsi="Arial"/>
          <w:sz w:val="14"/>
          <w:szCs w:val="14"/>
          <w:color w:val="auto"/>
        </w:rPr>
        <w:t>” section in our Annual Report on Form 20-F.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Key Operating Metrics</w:t>
      </w:r>
    </w:p>
    <w:p>
      <w:pPr>
        <w:spacing w:after="0" w:line="225"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We collect and analyze operating and financial data of our business to assess our performance, formulate financial projections and make strategic decisions. In addition to total revenues, net, operating income (loss), other measures under U.S. GAAP, and certain non-GAAP financial measures (see discussion and reconciliation herein titled “Reconciliation of Non-GAAP Financial Measures.”) The following table sets forth a key operating metric we use to evaluate our business.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9"/>
              </w:rPr>
              <w:t>Three Months Ended March 31,</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3"/>
        </w:trPr>
        <w:tc>
          <w:tcPr>
            <w:tcW w:w="7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09"/>
        </w:trPr>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ind w:left="660"/>
              <w:spacing w:after="0"/>
              <w:rPr>
                <w:sz w:val="20"/>
                <w:szCs w:val="20"/>
                <w:color w:val="auto"/>
              </w:rPr>
            </w:pPr>
            <w:r>
              <w:rPr>
                <w:rFonts w:ascii="Arial" w:cs="Arial" w:eastAsia="Arial" w:hAnsi="Arial"/>
                <w:sz w:val="16"/>
                <w:szCs w:val="16"/>
                <w:b w:val="1"/>
                <w:bCs w:val="1"/>
                <w:color w:val="auto"/>
                <w:w w:val="91"/>
              </w:rPr>
              <w:t>($ in 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4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Network Volume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1,850</w:t>
            </w:r>
          </w:p>
        </w:tc>
        <w:tc>
          <w:tcPr>
            <w:tcW w:w="5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320" w:type="dxa"/>
            <w:vAlign w:val="bottom"/>
            <w:gridSpan w:val="2"/>
            <w:shd w:val="clear" w:color="auto" w:fill="CCEEFF"/>
          </w:tcPr>
          <w:p>
            <w:pPr>
              <w:jc w:val="right"/>
              <w:ind w:right="379"/>
              <w:spacing w:after="0"/>
              <w:rPr>
                <w:sz w:val="20"/>
                <w:szCs w:val="20"/>
                <w:color w:val="auto"/>
              </w:rPr>
            </w:pPr>
            <w:r>
              <w:rPr>
                <w:rFonts w:ascii="Arial" w:cs="Arial" w:eastAsia="Arial" w:hAnsi="Arial"/>
                <w:sz w:val="16"/>
                <w:szCs w:val="16"/>
                <w:color w:val="auto"/>
              </w:rPr>
              <w:t>12%</w:t>
            </w:r>
          </w:p>
        </w:tc>
      </w:tr>
    </w:tbl>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Network Volume</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We believe the Network Volume metric to be a suitable proxy for our overall scale and reach, as we generate revenue primarily on the basis of Network Volume. Network Volume is driven by our relationships with our Partners, and we believe that this has benefited from continuous improvements to our AI technology, enabling our network to more effectively identify assets for acquisition by the Financing Vehicles, thereby providing additional investment opportunities to investors. Network Volume is comprised of assets across several asset classes, including personal loans, auto loans, residential real estate, credit card receivables and point of sale receivables.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Components of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generate revenue from network AI fees, contract fees, interest income and investment income. Network AI fees and contract fees are presented together as Revenue from fees in the consolidated financial statements. Revenue from fees is recognized after applying the five-step model consistent with Financial Accounting Standards Board Accounting Standards Codification (“ASC”) 606, “Revenue from Contracts with Consumers” (“ASC 606”).</w:t>
      </w:r>
    </w:p>
    <w:p>
      <w:pPr>
        <w:spacing w:after="0" w:line="164" w:lineRule="exact"/>
        <w:rPr>
          <w:sz w:val="20"/>
          <w:szCs w:val="20"/>
          <w:color w:val="auto"/>
        </w:rPr>
      </w:pPr>
    </w:p>
    <w:p>
      <w:pPr>
        <w:jc w:val="both"/>
        <w:spacing w:after="0" w:line="295" w:lineRule="auto"/>
        <w:rPr>
          <w:sz w:val="20"/>
          <w:szCs w:val="20"/>
          <w:color w:val="auto"/>
        </w:rPr>
      </w:pPr>
      <w:r>
        <w:rPr>
          <w:rFonts w:ascii="Arial" w:cs="Arial" w:eastAsia="Arial" w:hAnsi="Arial"/>
          <w:sz w:val="15"/>
          <w:szCs w:val="15"/>
          <w:i w:val="1"/>
          <w:iCs w:val="1"/>
          <w:color w:val="auto"/>
        </w:rPr>
        <w:t xml:space="preserve">Network AI fees. </w:t>
      </w:r>
      <w:r>
        <w:rPr>
          <w:rFonts w:ascii="Arial" w:cs="Arial" w:eastAsia="Arial" w:hAnsi="Arial"/>
          <w:sz w:val="15"/>
          <w:szCs w:val="15"/>
          <w:color w:val="auto"/>
        </w:rPr>
        <w:t>Network AI fees can be further broken down into two fee streams: AI integration fees and capital markets execution fees. We earn AI integration fees from</w:t>
      </w:r>
      <w:r>
        <w:rPr>
          <w:rFonts w:ascii="Arial" w:cs="Arial" w:eastAsia="Arial" w:hAnsi="Arial"/>
          <w:sz w:val="15"/>
          <w:szCs w:val="15"/>
          <w:i w:val="1"/>
          <w:iCs w:val="1"/>
          <w:color w:val="auto"/>
        </w:rPr>
        <w:t xml:space="preserve"> </w:t>
      </w:r>
      <w:r>
        <w:rPr>
          <w:rFonts w:ascii="Arial" w:cs="Arial" w:eastAsia="Arial" w:hAnsi="Arial"/>
          <w:sz w:val="15"/>
          <w:szCs w:val="15"/>
          <w:color w:val="auto"/>
        </w:rPr>
        <w:t>our Partners in our Financing Vehicles for the creation, sourcing and delivery of the assets that comprise our Network Volume. Multiple funding channels are used to enable the purchase of network assets from our Partners, such as ABS. Capital markets execution fees are earned from the market pricing of ABS transactions.</w:t>
      </w:r>
    </w:p>
    <w:p>
      <w:pPr>
        <w:spacing w:after="0" w:line="9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i w:val="1"/>
          <w:iCs w:val="1"/>
          <w:color w:val="auto"/>
        </w:rPr>
        <w:t xml:space="preserve">Contract fees. </w:t>
      </w:r>
      <w:r>
        <w:rPr>
          <w:rFonts w:ascii="Arial" w:cs="Arial" w:eastAsia="Arial" w:hAnsi="Arial"/>
          <w:sz w:val="16"/>
          <w:szCs w:val="16"/>
          <w:color w:val="auto"/>
        </w:rPr>
        <w:t>Contract fees primarily include administration and management fees, and performance fees. Administration and management fees are contracted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establishment of Financing Vehicles and are earned and collected over their remaining lives. Performance fees are earned when certain Financing Vehicles exceed contractual return hurdles and a significant reversal in the amount of cumulative revenue recognized is not expected to occur.</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also earn interest income from our risk retention holdings and cash balances and investment income associated with our ownership interests in certain Financing Vehicles and other proprietary investments.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Costs and Operating Expenses</w:t>
      </w:r>
    </w:p>
    <w:p>
      <w:pPr>
        <w:spacing w:after="0" w:line="21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Costs and operating expenses consist of Production Costs, research and development expenses, sales and marketing expenses, and general and administrative expenses. Salaries and personnel-related costs, including benefits, bonuses, share-based compensation, and outsourcing comprise a significant component of several of these expense categories. A portion of our non-share-based compensation expense and, to a lesser extent, certain operating expenses (excluding Production Costs) are denominated in the new Israeli shekel (“NIS”), which could result in variability in our operating expenses which are presented in U.S. Dollars.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Costs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Production Costs are primarily comprised of expenses incurred when Network Volume is transferred from Partners into Financing Vehicles, as our Partners are responsible for marketing and customer interaction and facilitating the flow of additional application flow. Accordingly, the amount and growth of our Production Costs are highly correlated to Network Volume.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Additionally, but to a lesser extent, Production Costs also include expenses incurred to renovate single family residential real estate.</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Research and development expenses primarily comprise costs associated with the maintenance and ongoing development of our network and AI technology, including personnel, allocated costs, and other development-related expenses. Research and development costs are expensed as incurred, net of capitalization. We have invested and believe continued investments in research and development are important to achieving our strategic objectives.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Sales and marketing expenses, related to Partner onboarding and development, as well as investor and potential investor management, are comprised primarily of salaries and personnel-related costs, as well as the costs of certain professional services, and allocated overhead. Sales and marketing expenses are expensed as incurred. Sales and marketing expenses in absolute dollars may fluctuate from period to period based on the timing of our investments in our sales and marketing functions. These investments may vary in scope and scale over future periods depending on our pipeline of new Partners and strategic investors.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5"/>
          <w:szCs w:val="15"/>
          <w:color w:val="auto"/>
        </w:rPr>
        <w:t>General and administrative expenses primarily comprise personnel-related costs for our executives, finance, legal and other administrative functions, professional fees for external legal, accounting and other professional services and allocated overhead costs. General and administrative expenses are expensed as incurred.</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(loss), net</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Other Income (loss), net primarily consists of changes in the fair value of warrant liabilities and other non-recurring items, such as other than temporary impairment of investments in loans and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We account for taxes on income in accordance with ASC 740, “Income Taxes” (“ASC 740”). We are eligible for certain tax benefits in Israel under the Law for the Encouragement of Capital Investments or the Investment Law at a reduced tax rate of 12%. Accordingly, as we generate taxable income in Israel, our effective tax rate is expected to be lower than the standard corporate tax rate for Israeli companies, which is 23%. Our taxable income generated outside of Israel or derived from other sources in Israel which is not eligible for tax benefits will be subject to the regular corporate tax rate in their respective tax jurisdictions.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Attributable to Noncontrolling Interests</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income attributable to noncontrolling interests in our consolidated statements of operations is a result of our investments in certain of our consolidated variable interest entities (‘‘VIEs’’) and consists of the portion of the net income of these consolidated entities that is not attributable to us.</w:t>
      </w:r>
    </w:p>
    <w:p>
      <w:pPr>
        <w:spacing w:after="0" w:line="181"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operating results for the periods indicated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440" w:right="339" w:bottom="1440" w:gutter="0" w:footer="0" w:header="0"/>
        </w:sectPr>
      </w:pPr>
    </w:p>
    <w:bookmarkStart w:id="25" w:name="page26"/>
    <w:bookmarkEnd w:id="25"/>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6"/>
                <w:szCs w:val="16"/>
                <w:b w:val="1"/>
                <w:bCs w:val="1"/>
                <w:color w:val="auto"/>
                <w:w w:val="94"/>
              </w:rPr>
              <w:t>Three Months Ended March 31,</w:t>
            </w: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360"/>
              <w:spacing w:after="0"/>
              <w:rPr>
                <w:sz w:val="20"/>
                <w:szCs w:val="20"/>
                <w:color w:val="auto"/>
              </w:rPr>
            </w:pPr>
            <w:r>
              <w:rPr>
                <w:rFonts w:ascii="Arial" w:cs="Arial" w:eastAsia="Arial" w:hAnsi="Arial"/>
                <w:sz w:val="16"/>
                <w:szCs w:val="16"/>
                <w:color w:val="auto"/>
              </w:rPr>
              <w:t>Revenue from fees</w:t>
            </w: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175,254</w:t>
            </w:r>
          </w:p>
        </w:tc>
        <w:tc>
          <w:tcPr>
            <w:tcW w:w="3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158,325</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360"/>
              <w:spacing w:after="0"/>
              <w:rPr>
                <w:sz w:val="20"/>
                <w:szCs w:val="20"/>
                <w:color w:val="auto"/>
              </w:rPr>
            </w:pPr>
            <w:r>
              <w:rPr>
                <w:rFonts w:ascii="Arial" w:cs="Arial" w:eastAsia="Arial" w:hAnsi="Arial"/>
                <w:sz w:val="16"/>
                <w:szCs w:val="16"/>
                <w:color w:val="auto"/>
              </w:rPr>
              <w:t>Interest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12,209</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income</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Revenue and Other Income</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186,638</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170,534</w:t>
            </w:r>
          </w:p>
        </w:tc>
        <w:tc>
          <w:tcPr>
            <w:tcW w:w="0" w:type="dxa"/>
            <w:vAlign w:val="bottom"/>
          </w:tcPr>
          <w:p>
            <w:pPr>
              <w:spacing w:after="0"/>
              <w:rPr>
                <w:sz w:val="1"/>
                <w:szCs w:val="1"/>
                <w:color w:val="auto"/>
              </w:rPr>
            </w:pPr>
          </w:p>
        </w:tc>
      </w:tr>
      <w:tr>
        <w:trPr>
          <w:trHeight w:val="199"/>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Operating Expenses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360"/>
              <w:spacing w:after="0"/>
              <w:rPr>
                <w:sz w:val="20"/>
                <w:szCs w:val="20"/>
                <w:color w:val="auto"/>
              </w:rPr>
            </w:pPr>
            <w:r>
              <w:rPr>
                <w:rFonts w:ascii="Arial" w:cs="Arial" w:eastAsia="Arial" w:hAnsi="Arial"/>
                <w:sz w:val="16"/>
                <w:szCs w:val="16"/>
                <w:color w:val="auto"/>
              </w:rPr>
              <w:t>Production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125,057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92,280</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 (1)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23,626</w:t>
            </w:r>
          </w:p>
        </w:tc>
        <w:tc>
          <w:tcPr>
            <w:tcW w:w="0" w:type="dxa"/>
            <w:vAlign w:val="bottom"/>
          </w:tcPr>
          <w:p>
            <w:pPr>
              <w:spacing w:after="0"/>
              <w:rPr>
                <w:sz w:val="1"/>
                <w:szCs w:val="1"/>
                <w:color w:val="auto"/>
              </w:rPr>
            </w:pPr>
          </w:p>
        </w:tc>
      </w:tr>
      <w:tr>
        <w:trPr>
          <w:trHeight w:val="213"/>
        </w:trPr>
        <w:tc>
          <w:tcPr>
            <w:tcW w:w="8680" w:type="dxa"/>
            <w:vAlign w:val="bottom"/>
          </w:tcPr>
          <w:p>
            <w:pPr>
              <w:ind w:left="360"/>
              <w:spacing w:after="0"/>
              <w:rPr>
                <w:sz w:val="20"/>
                <w:szCs w:val="20"/>
                <w:color w:val="auto"/>
              </w:rPr>
            </w:pPr>
            <w:r>
              <w:rPr>
                <w:rFonts w:ascii="Arial" w:cs="Arial" w:eastAsia="Arial" w:hAnsi="Arial"/>
                <w:sz w:val="16"/>
                <w:szCs w:val="16"/>
                <w:color w:val="auto"/>
              </w:rPr>
              <w:t>Sales and marketing (1)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14,300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13,046</w:t>
            </w:r>
          </w:p>
        </w:tc>
        <w:tc>
          <w:tcPr>
            <w:tcW w:w="0" w:type="dxa"/>
            <w:vAlign w:val="bottom"/>
          </w:tcPr>
          <w:p>
            <w:pPr>
              <w:spacing w:after="0"/>
              <w:rPr>
                <w:sz w:val="1"/>
                <w:szCs w:val="1"/>
                <w:color w:val="auto"/>
              </w:rPr>
            </w:pPr>
          </w:p>
        </w:tc>
      </w:tr>
      <w:tr>
        <w:trPr>
          <w:trHeight w:val="219"/>
        </w:trPr>
        <w:tc>
          <w:tcPr>
            <w:tcW w:w="8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General and administrative (1)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51,126</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51,594</w:t>
            </w:r>
          </w:p>
        </w:tc>
        <w:tc>
          <w:tcPr>
            <w:tcW w:w="0" w:type="dxa"/>
            <w:vAlign w:val="bottom"/>
          </w:tcPr>
          <w:p>
            <w:pPr>
              <w:spacing w:after="0"/>
              <w:rPr>
                <w:sz w:val="1"/>
                <w:szCs w:val="1"/>
                <w:color w:val="auto"/>
              </w:rPr>
            </w:pPr>
          </w:p>
        </w:tc>
      </w:tr>
      <w:tr>
        <w:trPr>
          <w:trHeight w:val="210"/>
        </w:trPr>
        <w:tc>
          <w:tcPr>
            <w:tcW w:w="8680" w:type="dxa"/>
            <w:vAlign w:val="bottom"/>
          </w:tcPr>
          <w:p>
            <w:pPr>
              <w:ind w:left="20"/>
              <w:spacing w:after="0"/>
              <w:rPr>
                <w:sz w:val="20"/>
                <w:szCs w:val="20"/>
                <w:color w:val="auto"/>
              </w:rPr>
            </w:pPr>
            <w:r>
              <w:rPr>
                <w:rFonts w:ascii="Arial" w:cs="Arial" w:eastAsia="Arial" w:hAnsi="Arial"/>
                <w:sz w:val="16"/>
                <w:szCs w:val="16"/>
                <w:b w:val="1"/>
                <w:bCs w:val="1"/>
                <w:color w:val="auto"/>
              </w:rPr>
              <w:t>Total Costs and Operating Expenses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211,614</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180,546</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(24,976)</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(10,012)</w:t>
            </w:r>
          </w:p>
        </w:tc>
        <w:tc>
          <w:tcPr>
            <w:tcW w:w="0" w:type="dxa"/>
            <w:vAlign w:val="bottom"/>
          </w:tcPr>
          <w:p>
            <w:pPr>
              <w:spacing w:after="0"/>
              <w:rPr>
                <w:sz w:val="1"/>
                <w:szCs w:val="1"/>
                <w:color w:val="auto"/>
              </w:rPr>
            </w:pPr>
          </w:p>
        </w:tc>
      </w:tr>
      <w:tr>
        <w:trPr>
          <w:trHeight w:val="209"/>
        </w:trPr>
        <w:tc>
          <w:tcPr>
            <w:tcW w:w="8680" w:type="dxa"/>
            <w:vAlign w:val="bottom"/>
          </w:tcPr>
          <w:p>
            <w:pPr>
              <w:ind w:left="20"/>
              <w:spacing w:after="0"/>
              <w:rPr>
                <w:sz w:val="20"/>
                <w:szCs w:val="20"/>
                <w:color w:val="auto"/>
              </w:rPr>
            </w:pPr>
            <w:r>
              <w:rPr>
                <w:rFonts w:ascii="Arial" w:cs="Arial" w:eastAsia="Arial" w:hAnsi="Arial"/>
                <w:sz w:val="16"/>
                <w:szCs w:val="16"/>
                <w:color w:val="auto"/>
              </w:rPr>
              <w:t>Other income (loss), net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(66,980)</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(91,956)</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(9,699)</w:t>
            </w:r>
          </w:p>
        </w:tc>
        <w:tc>
          <w:tcPr>
            <w:tcW w:w="0" w:type="dxa"/>
            <w:vAlign w:val="bottom"/>
          </w:tcPr>
          <w:p>
            <w:pPr>
              <w:spacing w:after="0"/>
              <w:rPr>
                <w:sz w:val="1"/>
                <w:szCs w:val="1"/>
                <w:color w:val="auto"/>
              </w:rPr>
            </w:pPr>
          </w:p>
        </w:tc>
      </w:tr>
      <w:tr>
        <w:trPr>
          <w:trHeight w:val="209"/>
        </w:trPr>
        <w:tc>
          <w:tcPr>
            <w:tcW w:w="86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6,667</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(98,623)</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(9,513)</w:t>
            </w:r>
          </w:p>
        </w:tc>
        <w:tc>
          <w:tcPr>
            <w:tcW w:w="0" w:type="dxa"/>
            <w:vAlign w:val="bottom"/>
          </w:tcPr>
          <w:p>
            <w:pPr>
              <w:spacing w:after="0"/>
              <w:rPr>
                <w:sz w:val="1"/>
                <w:szCs w:val="1"/>
                <w:color w:val="auto"/>
              </w:rPr>
            </w:pPr>
          </w:p>
        </w:tc>
      </w:tr>
      <w:tr>
        <w:trPr>
          <w:trHeight w:val="209"/>
        </w:trPr>
        <w:tc>
          <w:tcPr>
            <w:tcW w:w="868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(37,652)</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8,759</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Net Loss Attributable to Pagaya Technologies Ltd.</w:t>
            </w:r>
          </w:p>
        </w:tc>
        <w:tc>
          <w:tcPr>
            <w:tcW w:w="14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(60,971)</w:t>
            </w:r>
          </w:p>
        </w:tc>
        <w:tc>
          <w:tcPr>
            <w:tcW w:w="320" w:type="dxa"/>
            <w:vAlign w:val="bottom"/>
            <w:gridSpan w:val="3"/>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(18,272)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Per share data:</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Pagaya Technologies Ltd.</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(60,971)</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(18,272)</w:t>
            </w: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Undistributed earnings allocated to participated securities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(5,984)</w:t>
            </w:r>
          </w:p>
        </w:tc>
        <w:tc>
          <w:tcPr>
            <w:tcW w:w="0" w:type="dxa"/>
            <w:vAlign w:val="bottom"/>
          </w:tcPr>
          <w:p>
            <w:pPr>
              <w:spacing w:after="0"/>
              <w:rPr>
                <w:sz w:val="1"/>
                <w:szCs w:val="1"/>
                <w:color w:val="auto"/>
              </w:rPr>
            </w:pPr>
          </w:p>
        </w:tc>
      </w:tr>
      <w:tr>
        <w:trPr>
          <w:trHeight w:val="233"/>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attributed to Pagaya Technologies Ltd.</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(60,971)</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Net loss per share attributable to Pagaya Technologies Ltd.:</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 and Diluted (2)</w:t>
            </w: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680" w:type="dxa"/>
            <w:vAlign w:val="bottom"/>
          </w:tcPr>
          <w:p>
            <w:pPr>
              <w:ind w:left="20"/>
              <w:spacing w:after="0"/>
              <w:rPr>
                <w:sz w:val="20"/>
                <w:szCs w:val="20"/>
                <w:color w:val="auto"/>
              </w:rPr>
            </w:pPr>
            <w:r>
              <w:rPr>
                <w:rFonts w:ascii="Arial" w:cs="Arial" w:eastAsia="Arial" w:hAnsi="Arial"/>
                <w:sz w:val="16"/>
                <w:szCs w:val="16"/>
                <w:b w:val="1"/>
                <w:bCs w:val="1"/>
                <w:color w:val="auto"/>
              </w:rPr>
              <w:t>Non-GAAP adjusted net income (loss) (3)</w:t>
            </w: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(11,015)</w:t>
            </w:r>
          </w:p>
        </w:tc>
        <w:tc>
          <w:tcPr>
            <w:tcW w:w="3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4,106</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Non-GAAP adjusted net income (loss) per share:</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6"/>
                <w:szCs w:val="16"/>
                <w:color w:val="auto"/>
              </w:rPr>
              <w:t>Basic (2)</w:t>
            </w: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(0.02)</w:t>
            </w:r>
          </w:p>
        </w:tc>
        <w:tc>
          <w:tcPr>
            <w:tcW w:w="3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 (2)</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Weighted average shares outstanding (Class A and Class B):</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8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 (2)</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711,070,368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204,605,121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680" w:type="dxa"/>
            <w:vAlign w:val="bottom"/>
          </w:tcPr>
          <w:p>
            <w:pPr>
              <w:ind w:left="360"/>
              <w:spacing w:after="0"/>
              <w:rPr>
                <w:sz w:val="20"/>
                <w:szCs w:val="20"/>
                <w:color w:val="auto"/>
              </w:rPr>
            </w:pPr>
            <w:r>
              <w:rPr>
                <w:rFonts w:ascii="Arial" w:cs="Arial" w:eastAsia="Arial" w:hAnsi="Arial"/>
                <w:sz w:val="16"/>
                <w:szCs w:val="16"/>
                <w:color w:val="auto"/>
              </w:rPr>
              <w:t>Diluted (2)</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719,673,675</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455,455,389</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6"/>
                <w:szCs w:val="16"/>
                <w:color w:val="auto"/>
              </w:rPr>
              <w:t>(1) The following table sets forth share-based compensation for the periods indicated below (in thousands):</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7"/>
        </w:trPr>
        <w:tc>
          <w:tcPr>
            <w:tcW w:w="8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8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6"/>
                <w:szCs w:val="16"/>
                <w:b w:val="1"/>
                <w:bCs w:val="1"/>
                <w:color w:val="auto"/>
                <w:w w:val="94"/>
              </w:rPr>
              <w:t>Three Months Ended March 31,</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5,860</w:t>
            </w:r>
          </w:p>
        </w:tc>
        <w:tc>
          <w:tcPr>
            <w:tcW w:w="0" w:type="dxa"/>
            <w:vAlign w:val="bottom"/>
          </w:tcPr>
          <w:p>
            <w:pPr>
              <w:spacing w:after="0"/>
              <w:rPr>
                <w:sz w:val="1"/>
                <w:szCs w:val="1"/>
                <w:color w:val="auto"/>
              </w:rPr>
            </w:pPr>
          </w:p>
        </w:tc>
      </w:tr>
      <w:tr>
        <w:trPr>
          <w:trHeight w:val="213"/>
        </w:trPr>
        <w:tc>
          <w:tcPr>
            <w:tcW w:w="868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2,891</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7,884</w:t>
            </w:r>
          </w:p>
        </w:tc>
        <w:tc>
          <w:tcPr>
            <w:tcW w:w="0" w:type="dxa"/>
            <w:vAlign w:val="bottom"/>
          </w:tcPr>
          <w:p>
            <w:pPr>
              <w:spacing w:after="0"/>
              <w:rPr>
                <w:sz w:val="1"/>
                <w:szCs w:val="1"/>
                <w:color w:val="auto"/>
              </w:rPr>
            </w:pPr>
          </w:p>
        </w:tc>
      </w:tr>
      <w:tr>
        <w:trPr>
          <w:trHeight w:val="209"/>
        </w:trPr>
        <w:tc>
          <w:tcPr>
            <w:tcW w:w="8680" w:type="dxa"/>
            <w:vAlign w:val="bottom"/>
          </w:tcPr>
          <w:p>
            <w:pPr>
              <w:ind w:left="20"/>
              <w:spacing w:after="0"/>
              <w:rPr>
                <w:sz w:val="20"/>
                <w:szCs w:val="20"/>
                <w:color w:val="auto"/>
              </w:rPr>
            </w:pPr>
            <w:r>
              <w:rPr>
                <w:rFonts w:ascii="Arial" w:cs="Arial" w:eastAsia="Arial" w:hAnsi="Arial"/>
                <w:sz w:val="18"/>
                <w:szCs w:val="18"/>
                <w:color w:val="auto"/>
              </w:rPr>
              <w:t>Total share-based compensation in operating expenses</w:t>
            </w: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16,367</w:t>
            </w:r>
          </w:p>
        </w:tc>
        <w:tc>
          <w:tcPr>
            <w:tcW w:w="3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16,635</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Prior period amounts have been retroactively adjusted to reflect the 1:186.9 stock split effected on June 22, 2022.</w:t>
      </w:r>
    </w:p>
    <w:p>
      <w:pPr>
        <w:spacing w:after="0" w:line="261" w:lineRule="exact"/>
        <w:rPr>
          <w:rFonts w:ascii="Arial" w:cs="Arial" w:eastAsia="Arial" w:hAnsi="Arial"/>
          <w:sz w:val="16"/>
          <w:szCs w:val="16"/>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See “Reconciliation of Non-GAAP Financial Measures” elsewhere within this MD&amp;A for a reconciliation of this and adjusted EBITDA.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440" w:right="339" w:bottom="1440" w:gutter="0" w:footer="0" w:header="0"/>
          <w:type w:val="continuous"/>
        </w:sectPr>
      </w:pPr>
    </w:p>
    <w:bookmarkStart w:id="26" w:name="page27"/>
    <w:bookmarkEnd w:id="26"/>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00" w:type="dxa"/>
            <w:vAlign w:val="bottom"/>
          </w:tcPr>
          <w:p>
            <w:pPr>
              <w:spacing w:after="0"/>
              <w:rPr>
                <w:sz w:val="20"/>
                <w:szCs w:val="20"/>
                <w:color w:val="auto"/>
              </w:rPr>
            </w:pPr>
            <w:r>
              <w:rPr>
                <w:rFonts w:ascii="Arial" w:cs="Arial" w:eastAsia="Arial" w:hAnsi="Arial"/>
                <w:sz w:val="16"/>
                <w:szCs w:val="16"/>
                <w:b w:val="1"/>
                <w:bCs w:val="1"/>
                <w:color w:val="auto"/>
              </w:rPr>
              <w:t>Comparison of Three Months Ended March 31, 2023 and 2022</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92"/>
        </w:trPr>
        <w:tc>
          <w:tcPr>
            <w:tcW w:w="4900" w:type="dxa"/>
            <w:vAlign w:val="bottom"/>
          </w:tcPr>
          <w:p>
            <w:pPr>
              <w:spacing w:after="0"/>
              <w:rPr>
                <w:sz w:val="20"/>
                <w:szCs w:val="20"/>
                <w:color w:val="auto"/>
              </w:rPr>
            </w:pPr>
            <w:r>
              <w:rPr>
                <w:rFonts w:ascii="Arial" w:cs="Arial" w:eastAsia="Arial" w:hAnsi="Arial"/>
                <w:sz w:val="16"/>
                <w:szCs w:val="16"/>
                <w:b w:val="1"/>
                <w:bCs w:val="1"/>
                <w:color w:val="auto"/>
              </w:rPr>
              <w:t>Total Revenue and Other Income</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29"/>
        </w:trPr>
        <w:tc>
          <w:tcPr>
            <w:tcW w:w="4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w w:val="97"/>
              </w:rPr>
              <w:t>Three Months Ended March 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3"/>
        </w:trPr>
        <w:tc>
          <w:tcPr>
            <w:tcW w:w="4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 Change</w:t>
            </w:r>
          </w:p>
        </w:tc>
      </w:tr>
      <w:tr>
        <w:trPr>
          <w:trHeight w:val="247"/>
        </w:trPr>
        <w:tc>
          <w:tcPr>
            <w:tcW w:w="4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2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auto"/>
                <w:w w:val="88"/>
              </w:rPr>
              <w:t>(in thousands, except percentages)</w:t>
            </w:r>
          </w:p>
        </w:tc>
      </w:tr>
      <w:tr>
        <w:trPr>
          <w:trHeight w:val="33"/>
        </w:trPr>
        <w:tc>
          <w:tcPr>
            <w:tcW w:w="4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16"/>
        </w:trPr>
        <w:tc>
          <w:tcPr>
            <w:tcW w:w="4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Revenue from fees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175,254</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16,929</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13"/>
        </w:trPr>
        <w:tc>
          <w:tcPr>
            <w:tcW w:w="4900" w:type="dxa"/>
            <w:vAlign w:val="bottom"/>
          </w:tcPr>
          <w:p>
            <w:pPr>
              <w:ind w:left="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10,397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(1,812)</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4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Investment income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7"/>
        </w:trPr>
        <w:tc>
          <w:tcPr>
            <w:tcW w:w="4900" w:type="dxa"/>
            <w:vAlign w:val="bottom"/>
          </w:tcPr>
          <w:p>
            <w:pPr>
              <w:ind w:left="80"/>
              <w:spacing w:after="0"/>
              <w:rPr>
                <w:sz w:val="20"/>
                <w:szCs w:val="20"/>
                <w:color w:val="auto"/>
              </w:rPr>
            </w:pPr>
            <w:r>
              <w:rPr>
                <w:rFonts w:ascii="Arial" w:cs="Arial" w:eastAsia="Arial" w:hAnsi="Arial"/>
                <w:sz w:val="16"/>
                <w:szCs w:val="16"/>
                <w:color w:val="auto"/>
              </w:rPr>
              <w:t>Total Revenue and Other Income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186,638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170,534</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16,104</w:t>
            </w: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for comparison.</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Total revenue and other income, increased by $16.1 million, or 9%, to $186.6 million for the three months ended March 31, 2023 from $170.5 million for the three months ended March 31, 2022. The increase was primarily driven by an increase in revenue from fees.</w:t>
      </w:r>
    </w:p>
    <w:p>
      <w:pPr>
        <w:spacing w:after="0" w:line="159"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Revenue from fees increased by $16.9 million, or 11%, to $175.3 million for the three months ended March 31, 2023 from $158.3 million for the three months ended March 31, 2022. The increase was primarily due to a $9.4 million increase in Network AI fees, comprised of AI integration fees and capital markets execution fees, from $140.8 million for the three months ended March 31, 2022 to $150.2 million for the three months ended March 31, 2023. The increase in Network AI fees was driven by the growth in Network Volume, which increased by 12% from $1.6 billion for the three months ended March 31, 2022 to $1.9 billion for the three months ended March 31, 2023. Network Volume is a function of supply from existing and new Partners, as well as market demand for the originated assets. Contract fees, comprised of administration and management fees, performances fees, and servicing fees, also increased by $7.5 million from $17.6 million for the three months ended March 31, 2022 to $25.1 million for the three months ended March 31, 2023, reflecting continued growth in assets held by Financing Vehicles.</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Interest income decreased by $1.8 million, or 15%, to $10.4 million for the three months ended March 31, 2023 from $12.2 million for the three months ended March 31, 2022. The decrease in interest income was directly related to our risk retention holdings and related securities held in our consolidated VIEs as well as certain risk retention holdings held directly by our consolidated subsidiaries. The decrease in interest income was the result of (1) maturation of high yielding risk retention assets and (2) investments in vertical, lower yielding risk retention assets.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Investment income increased to $1.0 million for the three months ended March 31, 2023. Investment income during the three months ended March 31, 2023 primarily related to the returns from certain proprietary investments which did not exist during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20"/>
                <w:szCs w:val="20"/>
                <w:color w:val="auto"/>
              </w:rPr>
            </w:pPr>
            <w:r>
              <w:rPr>
                <w:rFonts w:ascii="Arial" w:cs="Arial" w:eastAsia="Arial" w:hAnsi="Arial"/>
                <w:sz w:val="16"/>
                <w:szCs w:val="16"/>
                <w:b w:val="1"/>
                <w:bCs w:val="1"/>
                <w:color w:val="auto"/>
              </w:rPr>
              <w:t>Costs and Operating Expenses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2"/>
        </w:trPr>
        <w:tc>
          <w:tcPr>
            <w:tcW w:w="4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r>
      <w:tr>
        <w:trPr>
          <w:trHeight w:val="210"/>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3"/>
          </w:tcPr>
          <w:p>
            <w:pPr>
              <w:ind w:left="920"/>
              <w:spacing w:after="0"/>
              <w:rPr>
                <w:sz w:val="20"/>
                <w:szCs w:val="20"/>
                <w:color w:val="auto"/>
              </w:rPr>
            </w:pPr>
            <w:r>
              <w:rPr>
                <w:rFonts w:ascii="Arial" w:cs="Arial" w:eastAsia="Arial" w:hAnsi="Arial"/>
                <w:sz w:val="16"/>
                <w:szCs w:val="16"/>
                <w:b w:val="1"/>
                <w:bCs w:val="1"/>
                <w:color w:val="auto"/>
                <w:w w:val="92"/>
              </w:rPr>
              <w:t>(in thousands)</w:t>
            </w:r>
          </w:p>
        </w:tc>
        <w:tc>
          <w:tcPr>
            <w:tcW w:w="1260" w:type="dxa"/>
            <w:vAlign w:val="bottom"/>
          </w:tcPr>
          <w:p>
            <w:pPr>
              <w:spacing w:after="0"/>
              <w:rPr>
                <w:sz w:val="18"/>
                <w:szCs w:val="18"/>
                <w:color w:val="auto"/>
              </w:rPr>
            </w:pPr>
          </w:p>
        </w:tc>
      </w:tr>
      <w:tr>
        <w:trPr>
          <w:trHeight w:val="219"/>
        </w:trPr>
        <w:tc>
          <w:tcPr>
            <w:tcW w:w="424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Production costs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125,057</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92,280</w:t>
            </w:r>
          </w:p>
        </w:tc>
      </w:tr>
      <w:tr>
        <w:trPr>
          <w:trHeight w:val="213"/>
        </w:trPr>
        <w:tc>
          <w:tcPr>
            <w:tcW w:w="4240" w:type="dxa"/>
            <w:vAlign w:val="bottom"/>
          </w:tcPr>
          <w:p>
            <w:pPr>
              <w:ind w:left="80"/>
              <w:spacing w:after="0"/>
              <w:rPr>
                <w:sz w:val="20"/>
                <w:szCs w:val="20"/>
                <w:color w:val="auto"/>
              </w:rPr>
            </w:pPr>
            <w:r>
              <w:rPr>
                <w:rFonts w:ascii="Arial" w:cs="Arial" w:eastAsia="Arial" w:hAnsi="Arial"/>
                <w:sz w:val="16"/>
                <w:szCs w:val="16"/>
                <w:color w:val="auto"/>
              </w:rPr>
              <w:t>Research and development</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21,131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23,626</w:t>
            </w:r>
          </w:p>
        </w:tc>
      </w:tr>
      <w:tr>
        <w:trPr>
          <w:trHeight w:val="219"/>
        </w:trPr>
        <w:tc>
          <w:tcPr>
            <w:tcW w:w="4240" w:type="dxa"/>
            <w:vAlign w:val="bottom"/>
            <w:shd w:val="clear" w:color="auto" w:fill="CCEEFF"/>
          </w:tcPr>
          <w:p>
            <w:pPr>
              <w:ind w:left="80"/>
              <w:spacing w:after="0"/>
              <w:rPr>
                <w:sz w:val="20"/>
                <w:szCs w:val="20"/>
                <w:color w:val="auto"/>
              </w:rPr>
            </w:pPr>
            <w:r>
              <w:rPr>
                <w:rFonts w:ascii="Arial" w:cs="Arial" w:eastAsia="Arial" w:hAnsi="Arial"/>
                <w:sz w:val="16"/>
                <w:szCs w:val="16"/>
                <w:color w:val="auto"/>
              </w:rPr>
              <w:t>Sales and marketing</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13,046</w:t>
            </w:r>
          </w:p>
        </w:tc>
      </w:tr>
      <w:tr>
        <w:trPr>
          <w:trHeight w:val="216"/>
        </w:trPr>
        <w:tc>
          <w:tcPr>
            <w:tcW w:w="4240" w:type="dxa"/>
            <w:vAlign w:val="bottom"/>
          </w:tcPr>
          <w:p>
            <w:pPr>
              <w:ind w:left="80"/>
              <w:spacing w:after="0"/>
              <w:rPr>
                <w:sz w:val="20"/>
                <w:szCs w:val="20"/>
                <w:color w:val="auto"/>
              </w:rPr>
            </w:pPr>
            <w:r>
              <w:rPr>
                <w:rFonts w:ascii="Arial" w:cs="Arial" w:eastAsia="Arial" w:hAnsi="Arial"/>
                <w:sz w:val="16"/>
                <w:szCs w:val="16"/>
                <w:color w:val="auto"/>
              </w:rPr>
              <w:t>General and administrative</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51,126</w:t>
            </w: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51,594</w:t>
            </w:r>
          </w:p>
        </w:tc>
      </w:tr>
      <w:tr>
        <w:trPr>
          <w:trHeight w:val="209"/>
        </w:trPr>
        <w:tc>
          <w:tcPr>
            <w:tcW w:w="4240" w:type="dxa"/>
            <w:vAlign w:val="bottom"/>
            <w:shd w:val="clear" w:color="auto" w:fill="CCEEFF"/>
          </w:tcPr>
          <w:p>
            <w:pPr>
              <w:ind w:left="80"/>
              <w:spacing w:after="0"/>
              <w:rPr>
                <w:sz w:val="20"/>
                <w:szCs w:val="20"/>
                <w:color w:val="auto"/>
              </w:rPr>
            </w:pPr>
            <w:r>
              <w:rPr>
                <w:rFonts w:ascii="Arial" w:cs="Arial" w:eastAsia="Arial" w:hAnsi="Arial"/>
                <w:sz w:val="16"/>
                <w:szCs w:val="16"/>
                <w:color w:val="auto"/>
              </w:rPr>
              <w:t>Total Costs and Operating Expenses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211,614</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180,546</w:t>
            </w:r>
          </w:p>
        </w:tc>
      </w:tr>
      <w:tr>
        <w:trPr>
          <w:trHeight w:val="717"/>
        </w:trPr>
        <w:tc>
          <w:tcPr>
            <w:tcW w:w="424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Production Costs</w:t>
            </w:r>
          </w:p>
        </w:tc>
        <w:tc>
          <w:tcPr>
            <w:tcW w:w="108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12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43"/>
        </w:trPr>
        <w:tc>
          <w:tcPr>
            <w:tcW w:w="4240" w:type="dxa"/>
            <w:vAlign w:val="bottom"/>
          </w:tcPr>
          <w:p>
            <w:pPr>
              <w:spacing w:after="0"/>
              <w:rPr>
                <w:sz w:val="21"/>
                <w:szCs w:val="21"/>
                <w:color w:val="auto"/>
              </w:rPr>
            </w:pPr>
          </w:p>
        </w:tc>
        <w:tc>
          <w:tcPr>
            <w:tcW w:w="2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3"/>
        </w:trPr>
        <w:tc>
          <w:tcPr>
            <w:tcW w:w="4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98"/>
              </w:rPr>
              <w:t>% Change</w:t>
            </w:r>
          </w:p>
        </w:tc>
      </w:tr>
      <w:tr>
        <w:trPr>
          <w:trHeight w:val="247"/>
        </w:trPr>
        <w:tc>
          <w:tcPr>
            <w:tcW w:w="4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w w:val="88"/>
              </w:rPr>
              <w:t>(in thousands, except percentages)</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424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Production costs</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6"/>
              </w:rPr>
              <w:t>125,057</w:t>
            </w:r>
          </w:p>
        </w:tc>
        <w:tc>
          <w:tcPr>
            <w:tcW w:w="120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92,280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ind w:left="920"/>
              <w:spacing w:after="0"/>
              <w:rPr>
                <w:sz w:val="20"/>
                <w:szCs w:val="20"/>
                <w:color w:val="auto"/>
              </w:rPr>
            </w:pPr>
            <w:r>
              <w:rPr>
                <w:rFonts w:ascii="Arial" w:cs="Arial" w:eastAsia="Arial" w:hAnsi="Arial"/>
                <w:sz w:val="16"/>
                <w:szCs w:val="16"/>
                <w:color w:val="auto"/>
                <w:w w:val="89"/>
              </w:rPr>
              <w:t>32,777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r>
    </w:tbl>
    <w:p>
      <w:pPr>
        <w:spacing w:after="0" w:line="27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Production costs increased by $32.8 million, or 36%, to $125.1 million for the three months ended March 31, 2023 from $92.3 million for the three months ended March 31, 2022. This increase was primarily due to increases in Network Volume and the composition of the asset classes that make up our Network Volume, as well as new Partners joining our network.</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jc w:val="center"/>
              <w:ind w:right="2259"/>
              <w:spacing w:after="0"/>
              <w:rPr>
                <w:sz w:val="20"/>
                <w:szCs w:val="20"/>
                <w:color w:val="auto"/>
              </w:rPr>
            </w:pPr>
            <w:r>
              <w:rPr>
                <w:rFonts w:ascii="Arial" w:cs="Arial" w:eastAsia="Arial" w:hAnsi="Arial"/>
                <w:sz w:val="16"/>
                <w:szCs w:val="16"/>
                <w:b w:val="1"/>
                <w:bCs w:val="1"/>
                <w:color w:val="auto"/>
                <w:w w:val="90"/>
              </w:rPr>
              <w:t>Research and Development</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4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Three Months Ended March 31,</w:t>
            </w:r>
          </w:p>
        </w:tc>
        <w:tc>
          <w:tcPr>
            <w:tcW w:w="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3"/>
        </w:trPr>
        <w:tc>
          <w:tcPr>
            <w:tcW w:w="4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Change</w:t>
            </w:r>
          </w:p>
        </w:tc>
        <w:tc>
          <w:tcPr>
            <w:tcW w:w="15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4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6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w w:val="94"/>
              </w:rPr>
              <w:t>(in thousands, except percentages)</w:t>
            </w:r>
          </w:p>
        </w:tc>
        <w:tc>
          <w:tcPr>
            <w:tcW w:w="1520" w:type="dxa"/>
            <w:vAlign w:val="bottom"/>
          </w:tcPr>
          <w:p>
            <w:pPr>
              <w:spacing w:after="0"/>
              <w:rPr>
                <w:sz w:val="18"/>
                <w:szCs w:val="18"/>
                <w:color w:val="auto"/>
              </w:rPr>
            </w:pPr>
          </w:p>
        </w:tc>
      </w:tr>
      <w:tr>
        <w:trPr>
          <w:trHeight w:val="219"/>
        </w:trPr>
        <w:tc>
          <w:tcPr>
            <w:tcW w:w="4240" w:type="dxa"/>
            <w:vAlign w:val="bottom"/>
            <w:shd w:val="clear" w:color="auto" w:fill="CCEEFF"/>
          </w:tcPr>
          <w:p>
            <w:pPr>
              <w:jc w:val="center"/>
              <w:ind w:right="2259"/>
              <w:spacing w:after="0"/>
              <w:rPr>
                <w:sz w:val="20"/>
                <w:szCs w:val="20"/>
                <w:color w:val="auto"/>
              </w:rPr>
            </w:pPr>
            <w:r>
              <w:rPr>
                <w:rFonts w:ascii="Arial" w:cs="Arial" w:eastAsia="Arial" w:hAnsi="Arial"/>
                <w:sz w:val="16"/>
                <w:szCs w:val="16"/>
                <w:color w:val="auto"/>
                <w:w w:val="88"/>
              </w:rPr>
              <w:t>Research and development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21,131</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23,626</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(2,495)</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bl>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Research and development costs in the three months ended March 31, 2023 decreased $2.5 million, or 11%, compared to the same period in 2022. Excluding Darwin’s contribution of $1.8 million, research and development costs decreased $4.3 million, primarily reflecting a $7.3 million decrease in compensation expenses, including a $3.4 million decrease in share-based compensation expenses, driven by a 4% decrease in average headcount affected by the reduction in workforce. This decrease was partially offset by a $2.6 million increase in overhead allocation and other miscellaneous costs.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jc w:val="center"/>
              <w:ind w:right="2719"/>
              <w:spacing w:after="0"/>
              <w:rPr>
                <w:sz w:val="20"/>
                <w:szCs w:val="20"/>
                <w:color w:val="auto"/>
              </w:rPr>
            </w:pPr>
            <w:r>
              <w:rPr>
                <w:rFonts w:ascii="Arial" w:cs="Arial" w:eastAsia="Arial" w:hAnsi="Arial"/>
                <w:sz w:val="16"/>
                <w:szCs w:val="16"/>
                <w:b w:val="1"/>
                <w:bCs w:val="1"/>
                <w:color w:val="auto"/>
                <w:w w:val="93"/>
              </w:rPr>
              <w:t>Sales and Marketing</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9"/>
        </w:trPr>
        <w:tc>
          <w:tcPr>
            <w:tcW w:w="4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Three Months Ended March 31,</w:t>
            </w: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3"/>
        </w:trPr>
        <w:tc>
          <w:tcPr>
            <w:tcW w:w="4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Change</w:t>
            </w:r>
          </w:p>
        </w:tc>
        <w:tc>
          <w:tcPr>
            <w:tcW w:w="15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4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w w:val="94"/>
              </w:rPr>
              <w:t>(in thousands, except percentages)</w:t>
            </w:r>
          </w:p>
        </w:tc>
        <w:tc>
          <w:tcPr>
            <w:tcW w:w="1540" w:type="dxa"/>
            <w:vAlign w:val="bottom"/>
          </w:tcPr>
          <w:p>
            <w:pPr>
              <w:spacing w:after="0"/>
              <w:rPr>
                <w:sz w:val="18"/>
                <w:szCs w:val="18"/>
                <w:color w:val="auto"/>
              </w:rPr>
            </w:pPr>
          </w:p>
        </w:tc>
      </w:tr>
      <w:tr>
        <w:trPr>
          <w:trHeight w:val="219"/>
        </w:trPr>
        <w:tc>
          <w:tcPr>
            <w:tcW w:w="4240" w:type="dxa"/>
            <w:vAlign w:val="bottom"/>
            <w:shd w:val="clear" w:color="auto" w:fill="CCEEFF"/>
          </w:tcPr>
          <w:p>
            <w:pPr>
              <w:jc w:val="center"/>
              <w:ind w:right="2699"/>
              <w:spacing w:after="0"/>
              <w:rPr>
                <w:sz w:val="20"/>
                <w:szCs w:val="20"/>
                <w:color w:val="auto"/>
              </w:rPr>
            </w:pPr>
            <w:r>
              <w:rPr>
                <w:rFonts w:ascii="Arial" w:cs="Arial" w:eastAsia="Arial" w:hAnsi="Arial"/>
                <w:sz w:val="16"/>
                <w:szCs w:val="16"/>
                <w:color w:val="auto"/>
                <w:w w:val="89"/>
              </w:rPr>
              <w:t>Sales and marketing</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14,300</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13,046</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1,254</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r>
    </w:tbl>
    <w:p>
      <w:pPr>
        <w:spacing w:after="0" w:line="27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Sales and marketing costs in the three months ended March 31, 2023 increased $1.3 million, or 10%, compared to the same period in 2022. This increase was primarily attributable to a $1.5 million increase in compensation expenses, including severance, partially offset by a $0.3 million decrease in overhead allocation and other miscellaneous costs. Average headcount in sales and marketing decreased by 6% between March 31, 2022 and March 31, 2023.</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440" w:right="339" w:bottom="1440" w:gutter="0" w:footer="0" w:header="0"/>
        </w:sectPr>
      </w:pPr>
    </w:p>
    <w:bookmarkStart w:id="28" w:name="page29"/>
    <w:bookmarkEnd w:id="28"/>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8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3"/>
        </w:trPr>
        <w:tc>
          <w:tcPr>
            <w:tcW w:w="42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w w:val="99"/>
              </w:rPr>
              <w:t>(in thousands, except percentages)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4240" w:type="dxa"/>
            <w:vAlign w:val="bottom"/>
            <w:shd w:val="clear" w:color="auto" w:fill="CCEEFF"/>
          </w:tcPr>
          <w:p>
            <w:pPr>
              <w:ind w:left="80"/>
              <w:spacing w:after="0"/>
              <w:rPr>
                <w:sz w:val="20"/>
                <w:szCs w:val="20"/>
                <w:color w:val="auto"/>
              </w:rPr>
            </w:pPr>
            <w:r>
              <w:rPr>
                <w:rFonts w:ascii="Arial" w:cs="Arial" w:eastAsia="Arial" w:hAnsi="Arial"/>
                <w:sz w:val="16"/>
                <w:szCs w:val="16"/>
                <w:color w:val="auto"/>
              </w:rPr>
              <w:t>General and administrative</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51,126</w:t>
            </w:r>
          </w:p>
        </w:tc>
        <w:tc>
          <w:tcPr>
            <w:tcW w:w="120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51,594</w:t>
            </w:r>
          </w:p>
        </w:tc>
        <w:tc>
          <w:tcPr>
            <w:tcW w:w="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r>
    </w:tbl>
    <w:p>
      <w:pPr>
        <w:spacing w:after="0" w:line="328"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color w:val="auto"/>
        </w:rPr>
        <w:t>General and administrative costs in the three months ended March 31, 2023 decreased $0.5 million, or 1%, compared to the same period in 2022. Excluding Darwin’s contribution of $5.1 million from its acquisition date on January 5, 2023 to March 31, 2023, general and administrative costs decreased $5.6 million, primarily driven by a $10.7 million decrease in expenses related to the public company readiness, legal and other professional services. This decrease was partially offset by a $5.1 million increase in compensation expenses as a result of average headcount in general and administrative increasing by 18% between March 31, 2022 and March 31, 2023, including a $3.3 million increase in share-based compensation expenses.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00" w:type="dxa"/>
            <w:vAlign w:val="bottom"/>
          </w:tcPr>
          <w:p>
            <w:pPr>
              <w:jc w:val="center"/>
              <w:ind w:right="2479"/>
              <w:spacing w:after="0"/>
              <w:rPr>
                <w:sz w:val="20"/>
                <w:szCs w:val="20"/>
                <w:color w:val="auto"/>
              </w:rPr>
            </w:pPr>
            <w:r>
              <w:rPr>
                <w:rFonts w:ascii="Arial" w:cs="Arial" w:eastAsia="Arial" w:hAnsi="Arial"/>
                <w:sz w:val="16"/>
                <w:szCs w:val="16"/>
                <w:b w:val="1"/>
                <w:bCs w:val="1"/>
                <w:color w:val="auto"/>
                <w:w w:val="92"/>
              </w:rPr>
              <w:t>Other Income (Loss), net</w:t>
            </w: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3"/>
        </w:trPr>
        <w:tc>
          <w:tcPr>
            <w:tcW w:w="43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Three Months Ended March 31,</w:t>
            </w:r>
          </w:p>
        </w:tc>
        <w:tc>
          <w:tcPr>
            <w:tcW w:w="4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3"/>
        </w:trPr>
        <w:tc>
          <w:tcPr>
            <w:tcW w:w="4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Change</w:t>
            </w:r>
          </w:p>
        </w:tc>
        <w:tc>
          <w:tcPr>
            <w:tcW w:w="144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 Change</w:t>
            </w:r>
          </w:p>
        </w:tc>
      </w:tr>
      <w:tr>
        <w:trPr>
          <w:trHeight w:val="209"/>
        </w:trPr>
        <w:tc>
          <w:tcPr>
            <w:tcW w:w="4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8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w w:val="93"/>
              </w:rPr>
              <w:t>(in thousands, except percentages)</w:t>
            </w:r>
          </w:p>
        </w:tc>
        <w:tc>
          <w:tcPr>
            <w:tcW w:w="1440" w:type="dxa"/>
            <w:vAlign w:val="bottom"/>
          </w:tcPr>
          <w:p>
            <w:pPr>
              <w:spacing w:after="0"/>
              <w:rPr>
                <w:sz w:val="18"/>
                <w:szCs w:val="18"/>
                <w:color w:val="auto"/>
              </w:rPr>
            </w:pPr>
          </w:p>
        </w:tc>
      </w:tr>
      <w:tr>
        <w:trPr>
          <w:trHeight w:val="219"/>
        </w:trPr>
        <w:tc>
          <w:tcPr>
            <w:tcW w:w="4300" w:type="dxa"/>
            <w:vAlign w:val="bottom"/>
            <w:shd w:val="clear" w:color="auto" w:fill="CCEEFF"/>
          </w:tcPr>
          <w:p>
            <w:pPr>
              <w:jc w:val="center"/>
              <w:ind w:right="2499"/>
              <w:spacing w:after="0"/>
              <w:rPr>
                <w:sz w:val="20"/>
                <w:szCs w:val="20"/>
                <w:color w:val="auto"/>
              </w:rPr>
            </w:pPr>
            <w:r>
              <w:rPr>
                <w:rFonts w:ascii="Arial" w:cs="Arial" w:eastAsia="Arial" w:hAnsi="Arial"/>
                <w:sz w:val="16"/>
                <w:szCs w:val="16"/>
                <w:color w:val="auto"/>
                <w:w w:val="91"/>
              </w:rPr>
              <w:t>Other income (loss), net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(66,980)</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(67,293)</w:t>
            </w:r>
          </w:p>
        </w:tc>
        <w:tc>
          <w:tcPr>
            <w:tcW w:w="144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NM</w:t>
            </w:r>
          </w:p>
        </w:tc>
      </w:tr>
    </w:tbl>
    <w:p>
      <w:pPr>
        <w:spacing w:after="0" w:line="274"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Other income (loss), net changed from income of $0.3 million for the three months ended March 31, 2022 to a loss of $67.0 million for the three months ended March 31, 2023. The change of $67.3 million was primarily due to a $68.3 million net credit-related impairment loss on certain investments during the three months ended March 31, 2023, partially offset by a $0.7 million favorable impact from the changes in fair value remeasurement of warrants. The net credit-related impairment loss, a non-cash charge, is the result of changing the held-to-maturity election for investments in loans and securities to available for sale during the three months ended March 31, 2023, and, as a result, adjusting those investments to market values as of March 31, 2023. We are not exposed economically to a significant portion of the credit-related impairment as certain investments are held within consolidated VIEs – please see “Net Income (Loss) Attributable to Noncontrolling Interests.”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00" w:type="dxa"/>
            <w:vAlign w:val="bottom"/>
          </w:tcPr>
          <w:p>
            <w:pPr>
              <w:jc w:val="center"/>
              <w:ind w:right="2779"/>
              <w:spacing w:after="0"/>
              <w:rPr>
                <w:sz w:val="20"/>
                <w:szCs w:val="20"/>
                <w:color w:val="auto"/>
              </w:rPr>
            </w:pPr>
            <w:r>
              <w:rPr>
                <w:rFonts w:ascii="Arial" w:cs="Arial" w:eastAsia="Arial" w:hAnsi="Arial"/>
                <w:sz w:val="16"/>
                <w:szCs w:val="16"/>
                <w:b w:val="1"/>
                <w:bCs w:val="1"/>
                <w:color w:val="auto"/>
                <w:w w:val="90"/>
              </w:rPr>
              <w:t>Income Tax Expense</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3"/>
        </w:trPr>
        <w:tc>
          <w:tcPr>
            <w:tcW w:w="43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Three Months Ended March 31,</w:t>
            </w:r>
          </w:p>
        </w:tc>
        <w:tc>
          <w:tcPr>
            <w:tcW w:w="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13"/>
        </w:trPr>
        <w:tc>
          <w:tcPr>
            <w:tcW w:w="4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Change</w:t>
            </w:r>
          </w:p>
        </w:tc>
        <w:tc>
          <w:tcPr>
            <w:tcW w:w="146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 Change</w:t>
            </w:r>
          </w:p>
        </w:tc>
      </w:tr>
      <w:tr>
        <w:trPr>
          <w:trHeight w:val="210"/>
        </w:trPr>
        <w:tc>
          <w:tcPr>
            <w:tcW w:w="4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6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auto"/>
                <w:w w:val="93"/>
              </w:rPr>
              <w:t>(in thousands, except percentages)</w:t>
            </w:r>
          </w:p>
        </w:tc>
        <w:tc>
          <w:tcPr>
            <w:tcW w:w="1460" w:type="dxa"/>
            <w:vAlign w:val="bottom"/>
          </w:tcPr>
          <w:p>
            <w:pPr>
              <w:spacing w:after="0"/>
              <w:rPr>
                <w:sz w:val="18"/>
                <w:szCs w:val="18"/>
                <w:color w:val="auto"/>
              </w:rPr>
            </w:pPr>
          </w:p>
        </w:tc>
      </w:tr>
      <w:tr>
        <w:trPr>
          <w:trHeight w:val="219"/>
        </w:trPr>
        <w:tc>
          <w:tcPr>
            <w:tcW w:w="4300" w:type="dxa"/>
            <w:vAlign w:val="bottom"/>
            <w:shd w:val="clear" w:color="auto" w:fill="CCEEFF"/>
          </w:tcPr>
          <w:p>
            <w:pPr>
              <w:jc w:val="center"/>
              <w:ind w:right="2779"/>
              <w:spacing w:after="0"/>
              <w:rPr>
                <w:sz w:val="20"/>
                <w:szCs w:val="20"/>
                <w:color w:val="auto"/>
              </w:rPr>
            </w:pPr>
            <w:r>
              <w:rPr>
                <w:rFonts w:ascii="Arial" w:cs="Arial" w:eastAsia="Arial" w:hAnsi="Arial"/>
                <w:sz w:val="16"/>
                <w:szCs w:val="16"/>
                <w:color w:val="auto"/>
                <w:w w:val="89"/>
              </w:rPr>
              <w:t>Income tax expense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6,667</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6,853</w:t>
            </w:r>
          </w:p>
        </w:tc>
        <w:tc>
          <w:tcPr>
            <w:tcW w:w="146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NM</w:t>
            </w:r>
          </w:p>
        </w:tc>
      </w:tr>
    </w:tbl>
    <w:p>
      <w:pPr>
        <w:spacing w:after="0" w:line="27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Income tax expense in the three months ended March 31, 2023 increased $6.9 million compared to the same period in 2022. The increase was driven by (1) the establishment of a valuation allowance to offset certain deferred tax assets at March 31, 2023, and (2) geographical mix of taxable net income.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4920" w:type="dxa"/>
            <w:vAlign w:val="bottom"/>
          </w:tcPr>
          <w:p>
            <w:pPr>
              <w:spacing w:after="0"/>
              <w:rPr>
                <w:sz w:val="19"/>
                <w:szCs w:val="19"/>
                <w:color w:val="auto"/>
              </w:rPr>
            </w:pPr>
          </w:p>
        </w:tc>
        <w:tc>
          <w:tcPr>
            <w:tcW w:w="30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Three Months Ended March 31,</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3"/>
        </w:trPr>
        <w:tc>
          <w:tcPr>
            <w:tcW w:w="49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7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4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60" w:type="dxa"/>
            <w:vAlign w:val="bottom"/>
            <w:gridSpan w:val="4"/>
          </w:tcPr>
          <w:p>
            <w:pPr>
              <w:ind w:left="18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49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 (loss) attributable to noncontrolling interests</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(37,652)</w:t>
            </w:r>
          </w:p>
        </w:tc>
        <w:tc>
          <w:tcPr>
            <w:tcW w:w="122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(46,411)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(530)%</w:t>
            </w:r>
          </w:p>
        </w:tc>
      </w:tr>
    </w:tbl>
    <w:p>
      <w:pPr>
        <w:spacing w:after="0" w:line="28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Net Income attributable to noncontrolling interests in the three months ended March 31, 2023 decreased $46.4 million, or 530%, compared to the same period in 2022. The decrease was driven by the net loss generated by our consolidated VIEs associated with our risk retention holdings. This amount represented the net income (loss) of the consolidated VIEs to which we had no economic right and was the result of interest income of $4.3 million generated from risk retention holdings offset by the credit-related impairment loss of $41.9 million on the same risk retention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Reconciliation of Non-GAAP Financial Measures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To supplement our consolidated financial statements prepared and presented in accordance with U.S. GAAP, we use the non-GAAP financial measures Adjusted Net Income (Loss) and Adjusted EBITDA to provide investors with additional information about our financial performance and to enhance the overall understanding of the results of operations by highlighting the results from ongoing operations and the underlying profitability of our business. We are presenting these non-GAAP financial measures because we believe they provide an additional tool for investors to use in comparing our core financial performance over multiple periods with the performance of other companies.</w:t>
      </w:r>
    </w:p>
    <w:p>
      <w:pPr>
        <w:spacing w:after="0" w:line="116"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However, non-GAAP financial measures have limitations in their usefulness to investors because they have no standardized meaning prescribed by U.S.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consolidated financial statements prepared and presented in accordance with U.S. GAAP.</w:t>
      </w:r>
    </w:p>
    <w:p>
      <w:pPr>
        <w:spacing w:after="0" w:line="10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To address these limitations, we provide a reconciliation of Adjusted Net Income (Loss) and Adjusted EBITDA to net income (loss) attributable to our shareholders. We encourage investors and others to review our financial information in its entirety, not to rely on any single financial measure and to view Adjusted Net Income (Loss) and Adjusted EBITDA in conjunction with their respective related U.S. GAAP financial measures.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Net Income (Loss) and Adjusted EBITDA</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Adjusted Net Income (Loss) and Adjusted EBITDA for the three months ended March 31, 2023 and 2022 are summarized below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210"/>
        </w:trPr>
        <w:tc>
          <w:tcPr>
            <w:tcW w:w="8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r>
      <w:tr>
        <w:trPr>
          <w:trHeight w:val="212"/>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4,106</w:t>
            </w:r>
          </w:p>
        </w:tc>
      </w:tr>
      <w:tr>
        <w:trPr>
          <w:trHeight w:val="210"/>
        </w:trPr>
        <w:tc>
          <w:tcPr>
            <w:tcW w:w="87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2,048</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4,397</w:t>
            </w:r>
          </w:p>
        </w:tc>
      </w:tr>
    </w:tbl>
    <w:p>
      <w:pPr>
        <w:spacing w:after="0" w:line="33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Adjusted Net Income (Loss) is defined as net income (loss) attributable to our shareholders excluding share-based compensation expense, change in fair value of warrant liability, impairment, including credit-related charges, restructuring expenses, and non-recurring expenses associated with mergers and acquisitions. Adjusted EBITDA is defined as net income (loss) attributable to our shareholders excluding share-based compensation expense, change in fair value of warrant liability, impairment, including credit-related charges, restructuring expenses, non-recurring expenses associated with mergers and acquisitions, interest expense, depreciation expense, and provision (and benefit from) for income taxes.</w:t>
      </w:r>
    </w:p>
    <w:p>
      <w:pPr>
        <w:spacing w:after="0" w:line="118" w:lineRule="exact"/>
        <w:rPr>
          <w:sz w:val="20"/>
          <w:szCs w:val="20"/>
          <w:color w:val="auto"/>
        </w:rPr>
      </w:pPr>
    </w:p>
    <w:p>
      <w:pPr>
        <w:jc w:val="both"/>
        <w:spacing w:after="0" w:line="328" w:lineRule="auto"/>
        <w:rPr>
          <w:sz w:val="20"/>
          <w:szCs w:val="20"/>
          <w:color w:val="auto"/>
        </w:rPr>
      </w:pPr>
      <w:r>
        <w:rPr>
          <w:rFonts w:ascii="Arial" w:cs="Arial" w:eastAsia="Arial" w:hAnsi="Arial"/>
          <w:sz w:val="15"/>
          <w:szCs w:val="15"/>
          <w:color w:val="auto"/>
        </w:rPr>
        <w:t>These items are excluded from our Adjusted Net Income (Loss) and Adjusted EBITDA measures because they are noncash in nature, or because the amount and timing of these items is unpredictable, is not driven by core results of operations and renders comparisons with prior periods and competitors less meaningful.</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believe Adjusted Net Income (Loss) and Adjusted EBITDA provide useful information to investors and others in understanding and evaluating our results of operations, as well as providing a useful measure for period-to-period comparisons of our business performance. Moreover, we have included Adjusted Net Income (Loss) and Adjusted EBITDA in this report because these are key measurements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 financial information presented in accordance with U.S. GAAP and may be different from similarly titled non-GAAP financial measures used by other companies.</w:t>
      </w:r>
    </w:p>
    <w:p>
      <w:pPr>
        <w:spacing w:after="0" w:line="21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table presents a reconciliation of net income (loss) attributable to Pagaya shareholders, the most directly comparable U.S. GAAP measure, to Adjusted Net Income (Loss) and Adjusted EBITDA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440" w:right="339" w:bottom="1440" w:gutter="0" w:footer="0" w:header="0"/>
        </w:sectPr>
      </w:pPr>
    </w:p>
    <w:bookmarkStart w:id="30" w:name="page31"/>
    <w:bookmarkEnd w:id="30"/>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210"/>
        </w:trPr>
        <w:tc>
          <w:tcPr>
            <w:tcW w:w="8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r>
      <w:tr>
        <w:trPr>
          <w:trHeight w:val="212"/>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Loss Attributable to Pagaya Technologies Ltd.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(60,971)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(18,272)</w:t>
            </w:r>
          </w:p>
        </w:tc>
      </w:tr>
      <w:tr>
        <w:trPr>
          <w:trHeight w:val="213"/>
        </w:trPr>
        <w:tc>
          <w:tcPr>
            <w:tcW w:w="870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Share-based compensation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16,635</w:t>
            </w:r>
          </w:p>
        </w:tc>
      </w:tr>
      <w:tr>
        <w:trPr>
          <w:trHeight w:val="213"/>
        </w:trPr>
        <w:tc>
          <w:tcPr>
            <w:tcW w:w="8700" w:type="dxa"/>
            <w:vAlign w:val="bottom"/>
          </w:tcPr>
          <w:p>
            <w:pPr>
              <w:ind w:left="100"/>
              <w:spacing w:after="0"/>
              <w:rPr>
                <w:sz w:val="20"/>
                <w:szCs w:val="20"/>
                <w:color w:val="auto"/>
              </w:rPr>
            </w:pPr>
            <w:r>
              <w:rPr>
                <w:rFonts w:ascii="Arial" w:cs="Arial" w:eastAsia="Arial" w:hAnsi="Arial"/>
                <w:sz w:val="16"/>
                <w:szCs w:val="16"/>
                <w:color w:val="auto"/>
              </w:rPr>
              <w:t>Fair value adjustment to warrant liability</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469</w:t>
            </w:r>
          </w:p>
        </w:tc>
      </w:tr>
      <w:tr>
        <w:trPr>
          <w:trHeight w:val="219"/>
        </w:trPr>
        <w:tc>
          <w:tcPr>
            <w:tcW w:w="8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Impairment loss on certain investments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700" w:type="dxa"/>
            <w:vAlign w:val="bottom"/>
          </w:tcPr>
          <w:p>
            <w:pPr>
              <w:ind w:left="100"/>
              <w:spacing w:after="0"/>
              <w:rPr>
                <w:sz w:val="20"/>
                <w:szCs w:val="20"/>
                <w:color w:val="auto"/>
              </w:rPr>
            </w:pPr>
            <w:r>
              <w:rPr>
                <w:rFonts w:ascii="Arial" w:cs="Arial" w:eastAsia="Arial" w:hAnsi="Arial"/>
                <w:sz w:val="16"/>
                <w:szCs w:val="16"/>
                <w:color w:val="auto"/>
              </w:rPr>
              <w:t>Write-off of capitalized software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Restructuring expenses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700" w:type="dxa"/>
            <w:vAlign w:val="bottom"/>
          </w:tcPr>
          <w:p>
            <w:pPr>
              <w:ind w:left="100"/>
              <w:spacing w:after="0"/>
              <w:rPr>
                <w:sz w:val="20"/>
                <w:szCs w:val="20"/>
                <w:color w:val="auto"/>
              </w:rPr>
            </w:pPr>
            <w:r>
              <w:rPr>
                <w:rFonts w:ascii="Arial" w:cs="Arial" w:eastAsia="Arial" w:hAnsi="Arial"/>
                <w:sz w:val="16"/>
                <w:szCs w:val="16"/>
                <w:color w:val="auto"/>
              </w:rPr>
              <w:t>Non-recurring expenses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5,274</w:t>
            </w:r>
          </w:p>
        </w:tc>
      </w:tr>
      <w:tr>
        <w:trPr>
          <w:trHeight w:val="210"/>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 (Loss)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4,106</w:t>
            </w:r>
          </w:p>
        </w:tc>
      </w:tr>
      <w:tr>
        <w:trPr>
          <w:trHeight w:val="213"/>
        </w:trPr>
        <w:tc>
          <w:tcPr>
            <w:tcW w:w="870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expenses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700" w:type="dxa"/>
            <w:vAlign w:val="bottom"/>
          </w:tcPr>
          <w:p>
            <w:pPr>
              <w:ind w:left="100"/>
              <w:spacing w:after="0"/>
              <w:rPr>
                <w:sz w:val="20"/>
                <w:szCs w:val="20"/>
                <w:color w:val="auto"/>
              </w:rPr>
            </w:pPr>
            <w:r>
              <w:rPr>
                <w:rFonts w:ascii="Arial" w:cs="Arial" w:eastAsia="Arial" w:hAnsi="Arial"/>
                <w:sz w:val="16"/>
                <w:szCs w:val="16"/>
                <w:color w:val="auto"/>
              </w:rPr>
              <w:t>Provision for (benefit from) income tax</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19"/>
        </w:trPr>
        <w:tc>
          <w:tcPr>
            <w:tcW w:w="8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w:t>
            </w:r>
          </w:p>
        </w:tc>
      </w:tr>
      <w:tr>
        <w:trPr>
          <w:trHeight w:val="209"/>
        </w:trPr>
        <w:tc>
          <w:tcPr>
            <w:tcW w:w="870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2,048</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4,397</w:t>
            </w:r>
          </w:p>
        </w:tc>
      </w:tr>
      <w:tr>
        <w:trPr>
          <w:trHeight w:val="21"/>
        </w:trPr>
        <w:tc>
          <w:tcPr>
            <w:tcW w:w="8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50"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During the three months ended March 31, 2023 and 2022, we incurred net losses attributable to shareholders of $61.0 million and $18.3 million, respectively. We had $475.2 million and $414.2 million of accumulated deficit as of March 31, 2023 and December 31, 2022, respectively. Prior to the merger of Rigel Merger Sub Inc., a Cayman Islands exempted company and a wholly-owned subsidiary of Pagaya, and EJF Acquisition Corp. (“EJFA”), a Cayman Islands exempted company (the “EJFA Merger”) and PIPE investment, we financed our operating and capital needs substantially through private sales of equity securities.</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March 31, 2023 and December 31, 2022, the principal sources of liquidity were cash, cash equivalents and restricted cash of $316.8 million and $337.1 million, respectively. As of March 31, 2023, shareholders’ equity related to Pagaya was approximately $527.9 million.</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primary requirements for liquidity and capital resources are to finance risk retention requirements and related securities, invest in research and development and to attract, recruit and retain a strong employee base. We intend to continue to make strategic investments to support our business plans.</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expect capital expenditures for fiscal year 2023 to be in line with our prior year spend. Excluding any proceeds from the exercise of public warrants or private placement warrants, we believe that our existing cash and cash equivalents, including the net proceeds from the PIPE investment, will be sufficient to meet our working capital and capital expenditure requirements for at least the next 12 months. This estimate is based on our current business plan and expectations and assumptions in light of current macroeconomic conditions. We have based these estimates on assumptions that may prove to be wrong and could use our available capital resources sooner than we currently expect, and future capital requirements and the adequacy of available funds will depend on many factors, including those described below as well as in “</w:t>
      </w:r>
      <w:r>
        <w:rPr>
          <w:rFonts w:ascii="Arial" w:cs="Arial" w:eastAsia="Arial" w:hAnsi="Arial"/>
          <w:sz w:val="16"/>
          <w:szCs w:val="16"/>
          <w:i w:val="1"/>
          <w:iCs w:val="1"/>
          <w:color w:val="auto"/>
        </w:rPr>
        <w:t>Item 3.D.</w:t>
      </w:r>
      <w:r>
        <w:rPr>
          <w:rFonts w:ascii="Arial" w:cs="Arial" w:eastAsia="Arial" w:hAnsi="Arial"/>
          <w:sz w:val="16"/>
          <w:szCs w:val="16"/>
          <w:color w:val="auto"/>
        </w:rPr>
        <w:t xml:space="preserve">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20-F.</w:t>
      </w:r>
    </w:p>
    <w:p>
      <w:pPr>
        <w:spacing w:after="0" w:line="213"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There are numerous risks to our financial results, liquidity and capital raising, some of which may not be quantified in our current estimates. The principal factors that could impact liquidity and capital needs are a prolonged inability to adequately access funding in the capital markets or in bilateral agreements, including as a result of macroeconomic conditions such as rising interest rates and higher cost of capital, the timing and extent of spending to support development efforts, the expansion of sales and marketing activities, the introduction of new and enhanced products and the continuing market adoption of our network.</w:t>
      </w:r>
    </w:p>
    <w:p>
      <w:pPr>
        <w:spacing w:after="0" w:line="18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We expect to finance our cash needs and fund our operations through existing cash and cash equivalents, including the net proceeds from the PIPE investment. We also have the ability to raise additional capital, including through borrowings under the Revolving Credit Facility pursuant to which we can borrow up to $167.5 million (see further description of the Revolving Credit Facility below in the section titled “</w:t>
      </w:r>
      <w:r>
        <w:rPr>
          <w:rFonts w:ascii="Arial" w:cs="Arial" w:eastAsia="Arial" w:hAnsi="Arial"/>
          <w:sz w:val="16"/>
          <w:szCs w:val="16"/>
          <w:i w:val="1"/>
          <w:iCs w:val="1"/>
          <w:color w:val="auto"/>
        </w:rPr>
        <w:t>Credit Facility</w:t>
      </w:r>
      <w:r>
        <w:rPr>
          <w:rFonts w:ascii="Arial" w:cs="Arial" w:eastAsia="Arial" w:hAnsi="Arial"/>
          <w:sz w:val="16"/>
          <w:szCs w:val="16"/>
          <w:color w:val="auto"/>
        </w:rPr>
        <w:t>”) or through the sale or issuance of equity or debt securities, including the issuance of up to 40,139,607 shares and not to exceed $300 million pursuant to the committed equity financing with B. Riley Principal Capital II, subject to certain limitations and conditions as described below in the section titled “</w:t>
      </w:r>
      <w:r>
        <w:rPr>
          <w:rFonts w:ascii="Arial" w:cs="Arial" w:eastAsia="Arial" w:hAnsi="Arial"/>
          <w:sz w:val="16"/>
          <w:szCs w:val="16"/>
          <w:i w:val="1"/>
          <w:iCs w:val="1"/>
          <w:color w:val="auto"/>
        </w:rPr>
        <w:t>The Committed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440" w:right="339" w:bottom="1440" w:gutter="0" w:footer="0" w:header="0"/>
        </w:sectPr>
      </w:pPr>
    </w:p>
    <w:bookmarkStart w:id="31" w:name="page32"/>
    <w:bookmarkEnd w:id="31"/>
    <w:p>
      <w:pPr>
        <w:jc w:val="both"/>
        <w:spacing w:after="0" w:line="265" w:lineRule="auto"/>
        <w:rPr>
          <w:sz w:val="20"/>
          <w:szCs w:val="20"/>
          <w:color w:val="auto"/>
        </w:rPr>
      </w:pPr>
      <w:r>
        <w:rPr>
          <w:rFonts w:ascii="Arial" w:cs="Arial" w:eastAsia="Arial" w:hAnsi="Arial"/>
          <w:sz w:val="15"/>
          <w:szCs w:val="15"/>
          <w:i w:val="1"/>
          <w:iCs w:val="1"/>
          <w:color w:val="auto"/>
        </w:rPr>
        <w:t>Financing,</w:t>
      </w:r>
      <w:r>
        <w:rPr>
          <w:rFonts w:ascii="Arial" w:cs="Arial" w:eastAsia="Arial" w:hAnsi="Arial"/>
          <w:sz w:val="15"/>
          <w:szCs w:val="15"/>
          <w:color w:val="auto"/>
        </w:rPr>
        <w:t>” as well as the issuance of up to 80 million convertible preferred shares, including 60 million convertible preferred shares for an aggregate purchase price of $75</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as described below in the section titled “</w:t>
      </w:r>
      <w:r>
        <w:rPr>
          <w:rFonts w:ascii="Arial" w:cs="Arial" w:eastAsia="Arial" w:hAnsi="Arial"/>
          <w:sz w:val="15"/>
          <w:szCs w:val="15"/>
          <w:i w:val="1"/>
          <w:iCs w:val="1"/>
          <w:color w:val="auto"/>
        </w:rPr>
        <w:t>Series A Preferred Share Purchase Agreement</w:t>
      </w:r>
      <w:r>
        <w:rPr>
          <w:rFonts w:ascii="Arial" w:cs="Arial" w:eastAsia="Arial" w:hAnsi="Arial"/>
          <w:sz w:val="15"/>
          <w:szCs w:val="15"/>
          <w:color w:val="auto"/>
        </w:rPr>
        <w:t>.” The ownership interest of our shareholders will be, or could be, diluted as a result of sales or issuances of equity or debt securities, and the terms of any such securities may include liquidation or other preferences that adversely affect the rights of our shareholders of Class A Ordinary Shares. We intend to support our liquidity and capital position by pursuing diversified sources of funding, including debt financing, equity financing, or new securitization vehicles, to provide committed liquidity in case of prolonged market uncertainty.</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Additional debt financing, such as secured or unsecured borrowings, credit facilities or corporate bonds, and equity financing, if available, may involve agreements that include covenants limiting or restricting our ability to take specific actions, such as incurring additional debt, making capital expenditures or declaring dividends. Our future capital requirements and the adequacy of available funds will depend on many factors, including those set forth in “</w:t>
      </w:r>
      <w:r>
        <w:rPr>
          <w:rFonts w:ascii="Arial" w:cs="Arial" w:eastAsia="Arial" w:hAnsi="Arial"/>
          <w:sz w:val="16"/>
          <w:szCs w:val="16"/>
          <w:i w:val="1"/>
          <w:iCs w:val="1"/>
          <w:color w:val="auto"/>
        </w:rPr>
        <w:t>Item 3.D.—Risk Factors</w:t>
      </w:r>
      <w:r>
        <w:rPr>
          <w:rFonts w:ascii="Arial" w:cs="Arial" w:eastAsia="Arial" w:hAnsi="Arial"/>
          <w:sz w:val="16"/>
          <w:szCs w:val="16"/>
          <w:color w:val="auto"/>
        </w:rPr>
        <w:t>” in our Annual Report on Form 20-F.</w:t>
      </w:r>
    </w:p>
    <w:p>
      <w:pPr>
        <w:spacing w:after="0" w:line="209"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addition, we will receive the proceeds from any exercise of any public warrants and private placement warrants in cash. Each public warrant and each private placement warrant that was issued and exchanged for each private placement warrants of EJFA entitling the holder to purchase one Class A ordinary share of EJFA per warrant (the “EJFA Private Placement Warrant”) in the EJFA Merger entitles the holder thereof to purchase one Class A Ordinary Share at a price of $11.50 per share. The aggregate amount of proceeds could be up to $169.6 million if all such warrants are exercised for cash. We expect to use any such proceeds for general corporate and working capital purposes, which would increase our liquidity, but do not need such proceeds to fund our operations.</w:t>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 xml:space="preserve">As of May 15, 2023, the price of our Class A Ordinary Shares was $0.93 per share. We believe the likelihood that warrant holders will exercise their public warrants and private placement warrants that were issued and exchanged for EJFA Private Placement Warrants in the EJFA Merger, and therefore the amount of cash proceeds that we would receive, is dependent upon the market price of Class A Ordinary Shares. If the market price for our Class A Ordinary Shares is less than $11.50 per share, we believe warrant holders will be unlikely to exercise on a cash basis their public warrants and private placement warrants that were issued and exchanged for EJFA Private Placement Warrants in the EJFA Merger. To the extent the public warrants and private placement warrants are exercised by warrant holders, ownership interest of our shareholders will be diluted as a result of such issuances. Moreover, the resale of Class A Ordinary Shares issuable upon the exercise of such warrants, or the perception of such sales, may cause the market price of our Class A Ordinary Shares to decline and impact our ability to raise additional financing on favorable terms. See </w:t>
      </w:r>
      <w:r>
        <w:rPr>
          <w:rFonts w:ascii="Arial" w:cs="Arial" w:eastAsia="Arial" w:hAnsi="Arial"/>
          <w:sz w:val="14"/>
          <w:szCs w:val="14"/>
          <w:i w:val="1"/>
          <w:iCs w:val="1"/>
          <w:color w:val="auto"/>
        </w:rPr>
        <w:t>“Item 3.D.—Risk Factors—We</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5"/>
          <w:szCs w:val="15"/>
          <w:i w:val="1"/>
          <w:iCs w:val="1"/>
          <w:color w:val="auto"/>
        </w:rPr>
        <w:t xml:space="preserve">may need to raise additional funds in the future, including, but not limited to, through equity, debt, or convertible debt financings, to support business growth, and those funds may be unavailable on acceptable terms, or at all. As a result, we may be unable to meet our future capital requirements, which could limit our ability to grow and jeopardize our ability to continue our business” and “Item 3.D.—Risk Factors—Risks Related to Ownership of our Class A Ordinary Shares and Warrants” </w:t>
      </w:r>
      <w:r>
        <w:rPr>
          <w:rFonts w:ascii="Arial" w:cs="Arial" w:eastAsia="Arial" w:hAnsi="Arial"/>
          <w:sz w:val="15"/>
          <w:szCs w:val="15"/>
          <w:color w:val="auto"/>
        </w:rPr>
        <w:t>in our Annual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Report on Form 20-F.</w:t>
      </w:r>
    </w:p>
    <w:p>
      <w:pPr>
        <w:spacing w:after="0" w:line="24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may, in the future, enter into arrangements to acquire or invest in complementary businesses, products, and technologies. We may be required to seek additional equity or debt financing related to such acquisitions or investments. In the event that we pursue additional financing, we may not be able to raise such financing on terms acceptable to us or at all. Additionally, as a result of any of these actions, we may be subject to restrictions and covenants in the agreements governing these transactions that may place limitations on us and we may be required to pledge collateral as security. If we are unable to raise additional capital or generate cash flows necessary to expand operations and invest in continued innovation, we may not be able to compete successfully, which would harm our business, operations and financial condition. It is also possible that the actual outcome of one or more of our plans could be materially different than expected or that one or more of the significant judgments or estimates could prove to be materially incorrect.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Committed Equity Financing</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On August 17, 2022, we entered into an Ordinary Shares Purchase Agreement (the “Equity Financing Purchase Agreement”) and a registration rights agreement (the “Equity Financing Registration Rights Agreement”) with B. Riley Principal Capital II, LLC (“B. Riley Principal Capital II”). Pursuant to the Equity Financing Purchase Agreement, we have the right to sell to B. Riley Principal Capital II up to $300 million of our Class A Ordinary Shares, subject to certain limitations and conditions set forth in the Equity Financing Purchase Agreement, from time to time during the 24-month term of the Equity Financing Purchase Agreement. Sales of our Class A Ordinary Shares pursuant to the Equity Financing Purchase Agreement, and the timing of any sales, are solely at our option, and we are under no obligation to sell any securities to B. Riley Principal Capital II under the Equity Financing Purchase Agreement. For any such sales, we must timely deliver a written purchase notice to B. Riley Principal Capital II pursuant to the Equity Financial Purchase Agreement on a trading day (each a “Purchase Date”) and the following conditions must be met: (i) the closing sale price of our Class A Ordinary Shares on the trading day immediately prior to the Purchase Date is not less than the threshold price of $1.00 (subject to adjustment as set forth in the Equity Financing Purchase Agreement) and (ii) all of our Class A Ordinary Shares subject to all prior purchases under the Equity Financing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412" w:right="339" w:bottom="1440" w:gutter="0" w:footer="0" w:header="0"/>
        </w:sectPr>
      </w:pPr>
    </w:p>
    <w:bookmarkStart w:id="32" w:name="page33"/>
    <w:bookmarkEnd w:id="32"/>
    <w:p>
      <w:pPr>
        <w:jc w:val="both"/>
        <w:spacing w:after="0" w:line="258" w:lineRule="auto"/>
        <w:rPr>
          <w:sz w:val="20"/>
          <w:szCs w:val="20"/>
          <w:color w:val="auto"/>
        </w:rPr>
      </w:pPr>
      <w:r>
        <w:rPr>
          <w:rFonts w:ascii="Arial" w:cs="Arial" w:eastAsia="Arial" w:hAnsi="Arial"/>
          <w:sz w:val="16"/>
          <w:szCs w:val="16"/>
          <w:color w:val="auto"/>
        </w:rPr>
        <w:t>Agreement and all prior intraday purchases effected by us under the Equity Financing Purchase Agreement have been received by B. Riley Principal Capital II prior to the time we deliver such notice to B. Riley Principal Capital II.</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per share purchase price for the shares of Class A Ordinary Shares that we elect to sell to B. Riley Principal Capital II pursuant to the Equity Financing Purchase Agreement, if any, will be determined by reference to the VWAP as defined within the Equity Financing Purchase Agreement, less a fixed 3% discount the VWAP for such Purchase Valuation Period (as defined in the Equity Financing Purchase Agreement). We cannot issue to B. Riley Principal Capital II more than 40,139,607 shares of Class A Ordinary Shares, which number of shares is approximately 9% of outstanding Class A Ordinary Shares immediately prior to the execution of the Equity Financing Purchase Agreement.</w:t>
      </w:r>
    </w:p>
    <w:p>
      <w:pPr>
        <w:spacing w:after="0" w:line="22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net proceeds under the Equity Financing Purchase Agreement to us will depend on the frequency and prices at which we sell shares of our stock to B. Riley Principal Capital II.</w:t>
      </w: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consideration for B. Riley Principal Capital II’s commitment to purchase shares of Class A Ordinary Shares at our direction upon the terms and subject to the conditions set forth in the Equity Financing Purchase Agreement, upon execution of the Equity Financing Purchase Agreement, we issued 46,536 shares of Class A Ordinary Shares to B. Riley Principal Capital II. Expense of $1 million related to these shares was recognized within other income (loss), net in our consolidated statements of operations for the year ended December 31, 2022. As of March 31, 2023, we have not sold any Class A Ordinary Shares to B. Riley Principal Capital II under the Equity Financing Purchase Agreement.</w:t>
      </w:r>
    </w:p>
    <w:p>
      <w:pPr>
        <w:spacing w:after="0" w:line="22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Equity Financing Purchase Agreement and the Equity Financing Registration Rights Agreement contain customary representations, warranties, conditions and indemnification obligations of the parties. Copies of the agreements have been filed as exhibits to our Annual Report on Form 20-F.</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Series A Preferred Share Purchase Agreement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April 14, 2023, we entered into a securities purchase agreement with Oak HC/FT Partners V, L.P., Oak HC/FT Partners V-A, L.P. and Oak HC/FT Partners V-B, L.P to purchase 60 million Series A Preferred Shares for an aggregate purchase price of $75 million. The Transaction is expected to close in the second quarter of 2023, subject to, among other things, us obtaining shareholder approval. In connection with the Transaction, shareholders will be asked to approve the A&amp;R Articles, which provide the rights and preferences of the Series A Preferred Shares. Pursuant to the A&amp;R Articles, there are 80 million authorized Series A Preferred Shares and we may issue and sell the balance of the authorized but unissued Series A Preferred Shares from time to time in the future. See the section titled “</w:t>
      </w:r>
      <w:r>
        <w:rPr>
          <w:rFonts w:ascii="Arial" w:cs="Arial" w:eastAsia="Arial" w:hAnsi="Arial"/>
          <w:sz w:val="16"/>
          <w:szCs w:val="16"/>
          <w:i w:val="1"/>
          <w:iCs w:val="1"/>
          <w:color w:val="auto"/>
        </w:rPr>
        <w:t>Series A Preferred Share Purchase Agreement</w:t>
      </w:r>
      <w:r>
        <w:rPr>
          <w:rFonts w:ascii="Arial" w:cs="Arial" w:eastAsia="Arial" w:hAnsi="Arial"/>
          <w:sz w:val="16"/>
          <w:szCs w:val="16"/>
          <w:color w:val="auto"/>
        </w:rPr>
        <w:t>” for additional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Capital Requirements</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normal course of business, we enter into certain lease contracts with lease terms through 2032. As of March 31, 2023, the total remaining non-cancellable contractual obligations are approximately $68.2 million.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summarized consolidated cash flow information for the periods presented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7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r>
      <w:tr>
        <w:trPr>
          <w:trHeight w:val="212"/>
        </w:trPr>
        <w:tc>
          <w:tcPr>
            <w:tcW w:w="77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ind w:left="740"/>
              <w:spacing w:after="0"/>
              <w:rPr>
                <w:sz w:val="20"/>
                <w:szCs w:val="20"/>
                <w:color w:val="auto"/>
              </w:rPr>
            </w:pPr>
            <w:r>
              <w:rPr>
                <w:rFonts w:ascii="Arial" w:cs="Arial" w:eastAsia="Arial" w:hAnsi="Arial"/>
                <w:sz w:val="16"/>
                <w:szCs w:val="16"/>
                <w:color w:val="auto"/>
                <w:w w:val="93"/>
              </w:rPr>
              <w:t>(23,673)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(2,823)</w:t>
            </w:r>
          </w:p>
        </w:tc>
      </w:tr>
      <w:tr>
        <w:trPr>
          <w:trHeight w:val="213"/>
        </w:trPr>
        <w:tc>
          <w:tcPr>
            <w:tcW w:w="7780" w:type="dxa"/>
            <w:vAlign w:val="bottom"/>
          </w:tcPr>
          <w:p>
            <w:pPr>
              <w:ind w:left="8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Pr>
          <w:p>
            <w:pPr>
              <w:ind w:left="740"/>
              <w:spacing w:after="0"/>
              <w:rPr>
                <w:sz w:val="20"/>
                <w:szCs w:val="20"/>
                <w:color w:val="auto"/>
              </w:rPr>
            </w:pPr>
            <w:r>
              <w:rPr>
                <w:rFonts w:ascii="Arial" w:cs="Arial" w:eastAsia="Arial" w:hAnsi="Arial"/>
                <w:sz w:val="16"/>
                <w:szCs w:val="16"/>
                <w:color w:val="auto"/>
                <w:w w:val="93"/>
              </w:rPr>
              <w:t>(99,665)</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(43,918)</w:t>
            </w:r>
          </w:p>
        </w:tc>
      </w:tr>
      <w:tr>
        <w:trPr>
          <w:trHeight w:val="219"/>
        </w:trPr>
        <w:tc>
          <w:tcPr>
            <w:tcW w:w="77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103,024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29,042</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Activities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Net cash used in operating activities increased by $20.9 million, or 739%, to $23.7 million for the three months ended March 31, 2023 from $2.8 million for the three months ended March 31, 2022. The increase was mainly due to a $89.1 million increase in net loss including noncontrolling interests, partially offset by a $71.0 million increase in non-cash charges primarily due to a non-cash credit impairment on certain investments.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412" w:right="339" w:bottom="1440" w:gutter="0" w:footer="0" w:header="0"/>
        </w:sectPr>
      </w:pPr>
    </w:p>
    <w:bookmarkStart w:id="33" w:name="page34"/>
    <w:bookmarkEnd w:id="33"/>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Net cash used in investing activities increased by $55.7 million, or 127%, to $99.7 million for the three months ended March 31, 2023 from $43.9 million for the three months ended March 31, 2022. The increase was primarily due to a $47.7 million increase in the purchase of investments in loans and securities, and a $1.3 million decrease in proceeds received from investments in loans and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Financing Activities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Net cash provided by financing activities increased by $74.0 million, or 255%, to $103.0 million for the three months ended March 31, 2023 from $29.0 million for the three months ended March 31, 2022. The increase was primarily due to a $80.0 million increase in proceeds from revolving credit facility, net of repayments, and an increase of $19.0 million related to noncontrolling interests. These increases were partially offset by a $26.9 million decrease from secured borrowing, net of repayments.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Indebtedness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Facility</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On September 2, 2022, we entered into that certain Senior Secured Revolving Credit Agreement (the “Credit Agreement”) by and among Pagaya, as the borrower, the lenders from time to time party thereto and Silicon Valley Bank (“SVB”) , as administrative agent and collateral agent, which provides for a 3-year senior secured revolving credit facility (the “Revolving Credit Facility”) in an initial principal amount of $167.5 million, which includes a sub-limit for letters of credit in an initial aggregate principal amount of $50.0 million, of which up to a U.S. dollar equivalent of $20.0 million may be issued in NIS.</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Revolving Credit Facility replaced the 2021 Credit Facility (as defined below). Proceeds of borrowings under the Revolving Credit Facility may be used to finance our ongoing working capital needs, permitted acquisitions or for general corporate purposes of us and our subsidiaries.</w:t>
      </w:r>
    </w:p>
    <w:p>
      <w:pPr>
        <w:spacing w:after="0" w:line="213"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Borrowings under the Revolving Credit Facility bear interest at a rate per annum equal to either (i) a base rate (determined based on the prime rate and subject to a 1.00% floor) plus a margin of 1.75% or (ii) an adjusted term Secured Overnight Financing Rate (subject to a 0.00% floor) plus a margin of 2.75%. A commitment fee accrues on any unused portion of the commitments under the Revolving Credit Facility at a rate per annum of 0.25% and is payable quarterly in arrears. We may voluntarily prepay borrowings under the Revolving Credit Facility at any time and from time to time without premium or penalty, subject only to the payment of customary “breakage” costs. No amortization payments are required to be made in respect of borrowings under the Revolving Credit Facility.</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obligations under the Credit Agreement are guaranteed by certain of our material, wholly-owned subsidiaries (collectively, the “Guarantors”) and are secured by a first priority lien on substantially all assets of us and the Guarantors, subject to certain customary exceptions.</w:t>
      </w:r>
    </w:p>
    <w:p>
      <w:pPr>
        <w:spacing w:after="0" w:line="199"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Credit Agreement contains customary negative covenants, which include, among other things, limitations on the ability of us and our consolidated subsidiaries to incur indebtedness, grant liens, engage in certain fundamental changes, make certain dispositions and investments, enter into sale and leaseback transactions and make restricted payments and other distributions. The Credit Agreement contains the following financial maintenance covenants, which will be tested on the last day of each fiscal quarter, commencing with the fiscal quarter ending September 30, 2022: (i) a minimum Consolidated Adjusted Quick Ratio (as defined in the Credit Agreement) of 1.25:1.00 and (ii) Consolidated Total Revenue (as defined in the Credit Agreement) not less than the amounts set forth in the Credit Agreement. The Credit Agreement also includes affirmative covenants customary for a credit facility of its type, including customary reporting covenants.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Credit Agreement includes events of default related to, among other things, failure to pay amounts due under the Credit Agreement, breaches of representations, warranties or covenants, defaults under other material indebtedness, certain events of bankruptcy or insolvency, material judgment defaults and change of control, in each case, subject to customary cure periods where appropriate.</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March 31, 2023, we had $95.0 million drawn, letters of credit issued in the amount of $20.0 million, and $52.5 million of remaining borrowing capacity available under the Revolving Credit Facility. We are in compliance with all covenants.</w:t>
      </w:r>
    </w:p>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March 10, 2023, SVB was closed by the California Department of Financial Protection and Innovation, and the Federal Deposit Insurance Corporation (“FDIC”) has been appointed as a receiver. On March 14, 2023, the FDIC announced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440" w:right="339" w:bottom="1440" w:gutter="0" w:footer="0" w:header="0"/>
        </w:sectPr>
      </w:pPr>
    </w:p>
    <w:bookmarkStart w:id="34" w:name="page35"/>
    <w:bookmarkEnd w:id="34"/>
    <w:p>
      <w:pPr>
        <w:jc w:val="both"/>
        <w:spacing w:after="0" w:line="258" w:lineRule="auto"/>
        <w:rPr>
          <w:sz w:val="20"/>
          <w:szCs w:val="20"/>
          <w:color w:val="auto"/>
        </w:rPr>
      </w:pPr>
      <w:r>
        <w:rPr>
          <w:rFonts w:ascii="Arial" w:cs="Arial" w:eastAsia="Arial" w:hAnsi="Arial"/>
          <w:sz w:val="16"/>
          <w:szCs w:val="16"/>
          <w:color w:val="auto"/>
        </w:rPr>
        <w:t>substantially all third-party contracts previously entered into by SVB, including the Credit Agreement, have been transferred to Silicon Valley Bridge Bank, National Association (“SVBBNA”) and that SVBBNA has assumed all obligations of SVB under those contracts.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Additionally, we held a total of approximately $15 million at SVB as of December 31, 2022, which represented approximately 5% of our cash and cash equivalents balance as of December 31, 2022. On March 14, 2023, our deposits with SVB were withdrawn and deposited in accounts at other banks where we hold our primary banking relationships.</w:t>
      </w: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to being the administrative agent and collateral agent, SVB was the lead lender for the Revolving Credit Facility and Receivables Facility. With regard to our Revolving Credit Facility, we continue to have access and, on March 10, 2023, to ensure the facility was still operational, we submitted a draw request which was successfully funded on March 15, 2023. The Receivables Facility was unaffected.</w:t>
      </w:r>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continue to believe that our existing cash and cash equivalents balance and cash flow from operations will be sufficient to meet our working capital, capital expenditures, and cash requirements from known contractual obligations for at least the next twelve months.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foregoing descriptions of the Credit Agreement are qualified in their entirety by reference to the full and complete terms thereof, which are incorporated herein by reference to Exhibit 4.6 of our Annual Report on Form 20-F.</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Securitizations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connection with asset-backed securitizations, we sponsor and establish securitization vehicles to purchase loans originated by our Partners.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To comply with risk retention regulatory requirements, we retain at least 5% of the credit risk of the securities issued by securitization vehicles. In ordinary course of business, we enter into certain financing arrangements to finance our risk retention balance in certain notes and securities retained from securitization transactions. For further information, see Note 5 and Note 7 to our consolidated financial statements included in Annual Report on Form 20-F.</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Recent Accounting Pronouncements</w:t>
      </w:r>
    </w:p>
    <w:p>
      <w:pPr>
        <w:spacing w:after="0" w:line="63" w:lineRule="exact"/>
        <w:rPr>
          <w:sz w:val="20"/>
          <w:szCs w:val="20"/>
          <w:color w:val="auto"/>
        </w:rPr>
      </w:pPr>
    </w:p>
    <w:p>
      <w:pPr>
        <w:ind w:right="320"/>
        <w:spacing w:after="0" w:line="369" w:lineRule="auto"/>
        <w:rPr>
          <w:sz w:val="20"/>
          <w:szCs w:val="20"/>
          <w:color w:val="auto"/>
        </w:rPr>
      </w:pPr>
      <w:r>
        <w:rPr>
          <w:rFonts w:ascii="Arial" w:cs="Arial" w:eastAsia="Arial" w:hAnsi="Arial"/>
          <w:sz w:val="14"/>
          <w:szCs w:val="14"/>
          <w:color w:val="auto"/>
        </w:rPr>
        <w:t>See Note 2 to the consolidated financial statements included in our Annual Report on Form 20-F. The adoption of ASU No. 2016-13 (Topic 326), Financial Instruments-Credit Losses: Measurement of Credit Losses on Financial Instruments” did not have a material impact on the Company’s consolidated financial statements.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significant accounting policies and their effect on our financial condition and results of operations are more fully described in our audited consolidated financial statements included in our Annual Report on Form 20-F.</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Quantitative and Qualitative Discussions of Market Risk</w:t>
      </w:r>
    </w:p>
    <w:p>
      <w:pPr>
        <w:spacing w:after="0" w:line="266"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We are exposed to market risks in the ordinary course of our business, which primarily relate to fluctuations in credit risks, liquidity risks, and interest rates. We are exposed to market risk directly through investments in loans and securities held on our consolidated balance sheets and access to the securitization markets. As we hold our investments to maturity, such fluctuations to date have not been significant. As of March 31, 2023, there have been no material changes in our exposure to market risk from December 31, 2022, a description of which can be found in our Annual Report on Form 20-F. See “</w:t>
      </w:r>
      <w:r>
        <w:rPr>
          <w:rFonts w:ascii="Arial" w:cs="Arial" w:eastAsia="Arial" w:hAnsi="Arial"/>
          <w:sz w:val="15"/>
          <w:szCs w:val="15"/>
          <w:i w:val="1"/>
          <w:iCs w:val="1"/>
          <w:color w:val="auto"/>
        </w:rPr>
        <w:t>Item 3.D.—Risk Factors</w:t>
      </w:r>
      <w:r>
        <w:rPr>
          <w:rFonts w:ascii="Arial" w:cs="Arial" w:eastAsia="Arial" w:hAnsi="Arial"/>
          <w:sz w:val="15"/>
          <w:szCs w:val="15"/>
          <w:color w:val="auto"/>
        </w:rPr>
        <w:t>” in our Annual Report on Form 20-F for a discussion of how difficult conditions in the financial markets and the economy generally may materially adversely affect our business and results of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sectPr>
      <w:pgSz w:w="11900" w:h="16838" w:orient="portrait"/>
      <w:cols w:equalWidth="0" w:num="1">
        <w:col w:w="11240"/>
      </w:cols>
      <w:pgMar w:left="320" w:top="14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2023-05-16T05:56:20Z</dcterms:created>
  <dcterms:modified xsi:type="dcterms:W3CDTF">2023-05-16T05:56:20Z</dcterms:modified>
</cp:coreProperties>
</file>